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FF78B">
      <w:pPr>
        <w:widowControl/>
        <w:spacing w:line="240" w:lineRule="auto"/>
        <w:ind w:firstLine="0" w:firstLineChars="0"/>
        <w:jc w:val="center"/>
        <w:rPr>
          <w:rFonts w:ascii="Times New Roman" w:hAnsi="Times New Roman" w:cs="Times New Roman"/>
          <w:sz w:val="72"/>
        </w:rPr>
      </w:pPr>
      <w:r>
        <w:rPr>
          <w:rFonts w:hint="eastAsia" w:ascii="Times New Roman" w:hAnsi="Times New Roman" w:cs="Times New Roman"/>
          <w:sz w:val="72"/>
        </w:rPr>
        <w:t>技术文件</w:t>
      </w:r>
    </w:p>
    <w:p w14:paraId="52F861C4">
      <w:pPr>
        <w:widowControl/>
        <w:spacing w:line="240" w:lineRule="auto"/>
        <w:ind w:firstLine="0" w:firstLineChars="0"/>
        <w:jc w:val="center"/>
        <w:rPr>
          <w:rFonts w:ascii="Times New Roman" w:hAnsi="Times New Roman" w:cs="Times New Roman"/>
        </w:rPr>
      </w:pPr>
    </w:p>
    <w:p w14:paraId="1DCB86FA">
      <w:pPr>
        <w:widowControl/>
        <w:spacing w:line="240" w:lineRule="auto"/>
        <w:ind w:firstLine="0" w:firstLineChars="0"/>
        <w:jc w:val="center"/>
        <w:rPr>
          <w:rFonts w:ascii="Times New Roman" w:hAnsi="Times New Roman" w:cs="Times New Roman"/>
        </w:rPr>
      </w:pPr>
    </w:p>
    <w:p w14:paraId="2405F871">
      <w:pPr>
        <w:widowControl/>
        <w:spacing w:line="240" w:lineRule="auto"/>
        <w:ind w:firstLine="0" w:firstLineChars="0"/>
        <w:jc w:val="center"/>
        <w:rPr>
          <w:rFonts w:ascii="Times New Roman" w:hAnsi="Times New Roman" w:cs="Times New Roman"/>
        </w:rPr>
      </w:pPr>
    </w:p>
    <w:p w14:paraId="1418D5CE">
      <w:pPr>
        <w:widowControl/>
        <w:spacing w:line="240" w:lineRule="auto"/>
        <w:ind w:firstLine="0" w:firstLineChars="0"/>
        <w:jc w:val="center"/>
        <w:rPr>
          <w:rFonts w:ascii="Times New Roman" w:hAnsi="Times New Roman" w:cs="Times New Roman"/>
        </w:rPr>
      </w:pPr>
    </w:p>
    <w:p w14:paraId="17CEEFA5">
      <w:pPr>
        <w:widowControl/>
        <w:spacing w:line="240" w:lineRule="auto"/>
        <w:ind w:firstLine="0" w:firstLineChars="0"/>
        <w:jc w:val="center"/>
        <w:rPr>
          <w:rFonts w:ascii="Times New Roman" w:hAnsi="Times New Roman" w:cs="Times New Roman"/>
        </w:rPr>
      </w:pPr>
    </w:p>
    <w:p w14:paraId="78CC3C11">
      <w:pPr>
        <w:widowControl/>
        <w:spacing w:line="240" w:lineRule="auto"/>
        <w:ind w:firstLine="0" w:firstLineChars="0"/>
        <w:jc w:val="center"/>
        <w:rPr>
          <w:rFonts w:ascii="Times New Roman" w:hAnsi="Times New Roman" w:cs="Times New Roman"/>
        </w:rPr>
      </w:pPr>
    </w:p>
    <w:p w14:paraId="4E29620B">
      <w:pPr>
        <w:widowControl/>
        <w:spacing w:line="240" w:lineRule="auto"/>
        <w:ind w:firstLine="0" w:firstLineChars="0"/>
        <w:jc w:val="left"/>
        <w:rPr>
          <w:rFonts w:ascii="Times New Roman" w:hAnsi="Times New Roman" w:cs="Times New Roman"/>
        </w:rPr>
      </w:pPr>
    </w:p>
    <w:p w14:paraId="24A3223B">
      <w:pPr>
        <w:widowControl/>
        <w:spacing w:line="240" w:lineRule="auto"/>
        <w:ind w:firstLine="0" w:firstLineChars="0"/>
        <w:jc w:val="left"/>
        <w:rPr>
          <w:rFonts w:ascii="Times New Roman" w:hAnsi="Times New Roman" w:cs="Times New Roman"/>
          <w:sz w:val="32"/>
          <w:u w:val="single"/>
        </w:rPr>
      </w:pPr>
      <w:r>
        <w:rPr>
          <w:rFonts w:ascii="Times New Roman" w:hAnsi="Times New Roman" w:cs="Times New Roman"/>
          <w:sz w:val="32"/>
        </w:rPr>
        <w:t>项目名称：</w:t>
      </w:r>
      <w:r>
        <w:rPr>
          <w:rFonts w:hint="eastAsia" w:ascii="Times New Roman" w:hAnsi="Times New Roman" w:cs="Times New Roman"/>
          <w:sz w:val="32"/>
          <w:u w:val="single"/>
        </w:rPr>
        <w:t>龙利得文化科技有限公司文化科创园项目</w:t>
      </w:r>
    </w:p>
    <w:p w14:paraId="2164E9EF">
      <w:pPr>
        <w:widowControl/>
        <w:spacing w:line="240" w:lineRule="auto"/>
        <w:ind w:left="1560" w:leftChars="650" w:firstLine="0" w:firstLineChars="0"/>
        <w:jc w:val="left"/>
        <w:rPr>
          <w:rFonts w:ascii="Times New Roman" w:hAnsi="Times New Roman" w:cs="Times New Roman"/>
          <w:sz w:val="32"/>
          <w:u w:val="single"/>
        </w:rPr>
      </w:pPr>
      <w:r>
        <w:rPr>
          <w:rFonts w:hint="eastAsia" w:ascii="Times New Roman" w:hAnsi="Times New Roman" w:cs="Times New Roman"/>
          <w:sz w:val="32"/>
          <w:u w:val="single"/>
        </w:rPr>
        <w:t>纸箱自动化输送及码垛系统</w:t>
      </w:r>
    </w:p>
    <w:p w14:paraId="376F27A7">
      <w:pPr>
        <w:widowControl/>
        <w:spacing w:line="240" w:lineRule="auto"/>
        <w:ind w:firstLine="0" w:firstLineChars="0"/>
        <w:jc w:val="left"/>
        <w:rPr>
          <w:rFonts w:ascii="Times New Roman" w:hAnsi="Times New Roman" w:cs="Times New Roman"/>
          <w:sz w:val="32"/>
        </w:rPr>
      </w:pPr>
      <w:r>
        <w:rPr>
          <w:rFonts w:ascii="Times New Roman" w:hAnsi="Times New Roman" w:cs="Times New Roman"/>
          <w:sz w:val="32"/>
        </w:rPr>
        <w:t>项目编号：</w:t>
      </w:r>
    </w:p>
    <w:p w14:paraId="3E51037D">
      <w:pPr>
        <w:widowControl/>
        <w:spacing w:line="240" w:lineRule="auto"/>
        <w:ind w:firstLine="0" w:firstLineChars="0"/>
        <w:jc w:val="center"/>
        <w:rPr>
          <w:rFonts w:ascii="Times New Roman" w:hAnsi="Times New Roman" w:cs="Times New Roman"/>
          <w:u w:val="single"/>
        </w:rPr>
      </w:pPr>
    </w:p>
    <w:p w14:paraId="44FFB9BC">
      <w:pPr>
        <w:widowControl/>
        <w:spacing w:line="240" w:lineRule="auto"/>
        <w:ind w:firstLine="0" w:firstLineChars="0"/>
        <w:jc w:val="center"/>
        <w:rPr>
          <w:rFonts w:ascii="Times New Roman" w:hAnsi="Times New Roman" w:cs="Times New Roman"/>
          <w:u w:val="single"/>
        </w:rPr>
      </w:pPr>
    </w:p>
    <w:p w14:paraId="21854DA5">
      <w:pPr>
        <w:widowControl/>
        <w:spacing w:line="240" w:lineRule="auto"/>
        <w:ind w:firstLine="0" w:firstLineChars="0"/>
        <w:jc w:val="center"/>
        <w:rPr>
          <w:rFonts w:ascii="Times New Roman" w:hAnsi="Times New Roman" w:cs="Times New Roman"/>
          <w:u w:val="single"/>
        </w:rPr>
      </w:pPr>
    </w:p>
    <w:p w14:paraId="12007F72">
      <w:pPr>
        <w:widowControl/>
        <w:spacing w:line="240" w:lineRule="auto"/>
        <w:ind w:firstLine="0" w:firstLineChars="0"/>
        <w:jc w:val="center"/>
        <w:rPr>
          <w:rFonts w:ascii="Times New Roman" w:hAnsi="Times New Roman" w:cs="Times New Roman"/>
          <w:u w:val="single"/>
        </w:rPr>
      </w:pPr>
    </w:p>
    <w:p w14:paraId="3825FD59">
      <w:pPr>
        <w:widowControl/>
        <w:spacing w:line="240" w:lineRule="auto"/>
        <w:ind w:firstLine="0" w:firstLineChars="0"/>
        <w:jc w:val="center"/>
        <w:rPr>
          <w:rFonts w:ascii="Times New Roman" w:hAnsi="Times New Roman" w:cs="Times New Roman"/>
          <w:u w:val="single"/>
        </w:rPr>
      </w:pPr>
    </w:p>
    <w:p w14:paraId="24751D5E">
      <w:pPr>
        <w:widowControl/>
        <w:spacing w:line="240" w:lineRule="auto"/>
        <w:ind w:firstLine="0" w:firstLineChars="0"/>
        <w:jc w:val="center"/>
        <w:rPr>
          <w:rFonts w:ascii="Times New Roman" w:hAnsi="Times New Roman" w:cs="Times New Roman"/>
          <w:u w:val="single"/>
        </w:rPr>
      </w:pPr>
    </w:p>
    <w:p w14:paraId="3BF4776A">
      <w:pPr>
        <w:widowControl/>
        <w:spacing w:line="240" w:lineRule="auto"/>
        <w:ind w:firstLine="0" w:firstLineChars="0"/>
        <w:jc w:val="center"/>
        <w:rPr>
          <w:rFonts w:ascii="Times New Roman" w:hAnsi="Times New Roman" w:cs="Times New Roman"/>
          <w:u w:val="single"/>
        </w:rPr>
      </w:pPr>
    </w:p>
    <w:p w14:paraId="2C95F64D">
      <w:pPr>
        <w:widowControl/>
        <w:spacing w:line="240" w:lineRule="auto"/>
        <w:ind w:firstLine="0" w:firstLineChars="0"/>
        <w:jc w:val="center"/>
        <w:rPr>
          <w:rFonts w:ascii="Times New Roman" w:hAnsi="Times New Roman" w:cs="Times New Roman"/>
          <w:u w:val="single"/>
        </w:rPr>
      </w:pPr>
    </w:p>
    <w:p w14:paraId="1016A4D1">
      <w:pPr>
        <w:widowControl/>
        <w:spacing w:line="240" w:lineRule="auto"/>
        <w:ind w:firstLine="0" w:firstLineChars="0"/>
        <w:jc w:val="center"/>
        <w:rPr>
          <w:rFonts w:ascii="Times New Roman" w:hAnsi="Times New Roman" w:cs="Times New Roman"/>
          <w:u w:val="single"/>
        </w:rPr>
      </w:pPr>
      <w:r>
        <w:rPr>
          <w:rFonts w:hint="eastAsia" w:ascii="Times New Roman" w:hAnsi="Times New Roman" w:cs="Times New Roman"/>
          <w:u w:val="single"/>
        </w:rPr>
        <w:t>（技术协议）</w:t>
      </w:r>
    </w:p>
    <w:p w14:paraId="4FBDAC48">
      <w:pPr>
        <w:widowControl/>
        <w:spacing w:line="240" w:lineRule="auto"/>
        <w:ind w:firstLine="0" w:firstLineChars="0"/>
        <w:jc w:val="center"/>
        <w:rPr>
          <w:rFonts w:ascii="Times New Roman" w:hAnsi="Times New Roman" w:cs="Times New Roman"/>
          <w:u w:val="single"/>
        </w:rPr>
      </w:pPr>
    </w:p>
    <w:p w14:paraId="3A873580">
      <w:pPr>
        <w:widowControl/>
        <w:spacing w:line="240" w:lineRule="auto"/>
        <w:ind w:firstLine="0" w:firstLineChars="0"/>
        <w:rPr>
          <w:rFonts w:ascii="Times New Roman" w:hAnsi="Times New Roman" w:cs="Times New Roman"/>
          <w:u w:val="single"/>
        </w:rPr>
      </w:pPr>
    </w:p>
    <w:p w14:paraId="701C4630">
      <w:pPr>
        <w:widowControl/>
        <w:spacing w:line="240" w:lineRule="auto"/>
        <w:ind w:firstLine="0" w:firstLineChars="0"/>
        <w:rPr>
          <w:rFonts w:ascii="Times New Roman" w:hAnsi="Times New Roman" w:cs="Times New Roman"/>
          <w:u w:val="single"/>
        </w:rPr>
      </w:pPr>
    </w:p>
    <w:p w14:paraId="07BDA5B6">
      <w:pPr>
        <w:widowControl/>
        <w:spacing w:line="240" w:lineRule="auto"/>
        <w:ind w:firstLine="0" w:firstLineChars="0"/>
        <w:jc w:val="center"/>
        <w:rPr>
          <w:rFonts w:ascii="Times New Roman" w:hAnsi="Times New Roman" w:cs="Times New Roman"/>
          <w:sz w:val="32"/>
          <w:u w:val="single"/>
        </w:rPr>
      </w:pPr>
      <w:r>
        <w:rPr>
          <w:rFonts w:ascii="Times New Roman" w:hAnsi="Times New Roman" w:cs="Times New Roman"/>
          <w:sz w:val="32"/>
          <w:u w:val="single"/>
        </w:rPr>
        <w:t>2024年</w:t>
      </w:r>
      <w:r>
        <w:rPr>
          <w:rFonts w:hint="eastAsia" w:ascii="Times New Roman" w:hAnsi="Times New Roman" w:cs="Times New Roman"/>
          <w:sz w:val="32"/>
          <w:u w:val="single"/>
        </w:rPr>
        <w:t>12</w:t>
      </w:r>
      <w:r>
        <w:rPr>
          <w:rFonts w:ascii="Times New Roman" w:hAnsi="Times New Roman" w:cs="Times New Roman"/>
          <w:sz w:val="32"/>
          <w:u w:val="single"/>
        </w:rPr>
        <w:t>月</w:t>
      </w:r>
      <w:r>
        <w:rPr>
          <w:rFonts w:hint="eastAsia" w:ascii="Times New Roman" w:hAnsi="Times New Roman" w:cs="Times New Roman"/>
          <w:sz w:val="32"/>
          <w:u w:val="single"/>
        </w:rPr>
        <w:t>30</w:t>
      </w:r>
      <w:r>
        <w:rPr>
          <w:rFonts w:ascii="Times New Roman" w:hAnsi="Times New Roman" w:cs="Times New Roman"/>
          <w:sz w:val="32"/>
          <w:u w:val="single"/>
        </w:rPr>
        <w:t>日</w:t>
      </w:r>
    </w:p>
    <w:p w14:paraId="118AFDC7">
      <w:pPr>
        <w:widowControl/>
        <w:spacing w:line="240" w:lineRule="auto"/>
        <w:ind w:firstLine="0" w:firstLineChars="0"/>
        <w:rPr>
          <w:rFonts w:ascii="Times New Roman" w:hAnsi="Times New Roman" w:cs="Times New Roman"/>
          <w:sz w:val="32"/>
          <w:u w:val="single"/>
        </w:rPr>
        <w:sectPr>
          <w:headerReference r:id="rId7" w:type="first"/>
          <w:footerReference r:id="rId10" w:type="first"/>
          <w:headerReference r:id="rId5" w:type="default"/>
          <w:footerReference r:id="rId8" w:type="default"/>
          <w:headerReference r:id="rId6" w:type="even"/>
          <w:footerReference r:id="rId9" w:type="even"/>
          <w:pgSz w:w="11906" w:h="16838"/>
          <w:pgMar w:top="1418" w:right="1800" w:bottom="1418" w:left="1800" w:header="851" w:footer="992" w:gutter="0"/>
          <w:cols w:space="425" w:num="1"/>
          <w:titlePg/>
          <w:docGrid w:linePitch="326" w:charSpace="0"/>
        </w:sectPr>
      </w:pPr>
    </w:p>
    <w:sdt>
      <w:sdtPr>
        <w:rPr>
          <w:rFonts w:asciiTheme="minorHAnsi" w:hAnsiTheme="minorHAnsi" w:eastAsiaTheme="minorEastAsia" w:cstheme="minorBidi"/>
          <w:color w:val="auto"/>
          <w:kern w:val="2"/>
          <w:sz w:val="24"/>
          <w:szCs w:val="22"/>
          <w:lang w:val="zh-CN"/>
        </w:rPr>
        <w:id w:val="1124357252"/>
        <w:docPartObj>
          <w:docPartGallery w:val="Table of Contents"/>
          <w:docPartUnique/>
        </w:docPartObj>
      </w:sdtPr>
      <w:sdtEndPr>
        <w:rPr>
          <w:rFonts w:asciiTheme="minorHAnsi" w:hAnsiTheme="minorHAnsi" w:eastAsiaTheme="minorEastAsia" w:cstheme="minorBidi"/>
          <w:b/>
          <w:bCs/>
          <w:color w:val="auto"/>
          <w:kern w:val="2"/>
          <w:sz w:val="24"/>
          <w:szCs w:val="22"/>
          <w:lang w:val="zh-CN"/>
        </w:rPr>
      </w:sdtEndPr>
      <w:sdtContent>
        <w:p w14:paraId="1C3679C9">
          <w:pPr>
            <w:pStyle w:val="28"/>
            <w:ind w:firstLine="480"/>
            <w:jc w:val="center"/>
          </w:pPr>
          <w:bookmarkStart w:id="0" w:name="_Toc5720"/>
          <w:bookmarkStart w:id="1" w:name="_Toc186389136"/>
          <w:bookmarkStart w:id="2" w:name="_Toc7351"/>
          <w:r>
            <w:rPr>
              <w:color w:val="auto"/>
              <w:lang w:val="zh-CN"/>
            </w:rPr>
            <w:t>目录</w:t>
          </w:r>
        </w:p>
        <w:p w14:paraId="7FC2C178">
          <w:pPr>
            <w:pStyle w:val="12"/>
            <w:tabs>
              <w:tab w:val="right" w:leader="dot" w:pos="9064"/>
            </w:tabs>
            <w:ind w:firstLine="480"/>
            <w:rPr>
              <w:sz w:val="21"/>
              <w14:ligatures w14:val="standardContextual"/>
            </w:rPr>
          </w:pPr>
          <w:r>
            <w:fldChar w:fldCharType="begin"/>
          </w:r>
          <w:r>
            <w:instrText xml:space="preserve"> TOC \o "1-3" \h \z \u </w:instrText>
          </w:r>
          <w:r>
            <w:fldChar w:fldCharType="separate"/>
          </w:r>
          <w:r>
            <w:fldChar w:fldCharType="begin"/>
          </w:r>
          <w:r>
            <w:instrText xml:space="preserve"> HYPERLINK \l "_Toc186452586" </w:instrText>
          </w:r>
          <w:r>
            <w:fldChar w:fldCharType="separate"/>
          </w:r>
          <w:r>
            <w:rPr>
              <w:rStyle w:val="18"/>
              <w:rFonts w:hint="eastAsia"/>
            </w:rPr>
            <w:t>1 方案设计说明</w:t>
          </w:r>
          <w:r>
            <w:rPr>
              <w:rFonts w:hint="eastAsia"/>
            </w:rPr>
            <w:tab/>
          </w:r>
          <w:r>
            <w:rPr>
              <w:rFonts w:hint="eastAsia"/>
            </w:rPr>
            <w:fldChar w:fldCharType="begin"/>
          </w:r>
          <w:r>
            <w:rPr>
              <w:rFonts w:hint="eastAsia"/>
            </w:rPr>
            <w:instrText xml:space="preserve"> </w:instrText>
          </w:r>
          <w:r>
            <w:instrText xml:space="preserve">PAGEREF _Toc186452586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6D8506E3">
          <w:pPr>
            <w:pStyle w:val="13"/>
            <w:tabs>
              <w:tab w:val="right" w:leader="dot" w:pos="9064"/>
            </w:tabs>
            <w:ind w:left="480" w:firstLine="480"/>
            <w:rPr>
              <w:sz w:val="21"/>
              <w14:ligatures w14:val="standardContextual"/>
            </w:rPr>
          </w:pPr>
          <w:r>
            <w:fldChar w:fldCharType="begin"/>
          </w:r>
          <w:r>
            <w:instrText xml:space="preserve"> HYPERLINK \l "_Toc186452587" </w:instrText>
          </w:r>
          <w:r>
            <w:fldChar w:fldCharType="separate"/>
          </w:r>
          <w:r>
            <w:rPr>
              <w:rStyle w:val="18"/>
              <w:rFonts w:hint="eastAsia" w:ascii="黑体"/>
            </w:rPr>
            <w:t>1.1</w:t>
          </w:r>
          <w:r>
            <w:rPr>
              <w:rStyle w:val="18"/>
              <w:rFonts w:hint="eastAsia"/>
            </w:rPr>
            <w:t xml:space="preserve"> 设计基本参数</w:t>
          </w:r>
          <w:r>
            <w:rPr>
              <w:rFonts w:hint="eastAsia"/>
            </w:rPr>
            <w:tab/>
          </w:r>
          <w:r>
            <w:rPr>
              <w:rFonts w:hint="eastAsia"/>
            </w:rPr>
            <w:fldChar w:fldCharType="begin"/>
          </w:r>
          <w:r>
            <w:rPr>
              <w:rFonts w:hint="eastAsia"/>
            </w:rPr>
            <w:instrText xml:space="preserve"> </w:instrText>
          </w:r>
          <w:r>
            <w:instrText xml:space="preserve">PAGEREF _Toc186452587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3661AB1">
          <w:pPr>
            <w:pStyle w:val="13"/>
            <w:tabs>
              <w:tab w:val="right" w:leader="dot" w:pos="9064"/>
            </w:tabs>
            <w:ind w:left="480" w:firstLine="480"/>
            <w:rPr>
              <w:sz w:val="21"/>
              <w14:ligatures w14:val="standardContextual"/>
            </w:rPr>
          </w:pPr>
          <w:r>
            <w:fldChar w:fldCharType="begin"/>
          </w:r>
          <w:r>
            <w:instrText xml:space="preserve"> HYPERLINK \l "_Toc186452588" </w:instrText>
          </w:r>
          <w:r>
            <w:fldChar w:fldCharType="separate"/>
          </w:r>
          <w:r>
            <w:rPr>
              <w:rStyle w:val="18"/>
              <w:rFonts w:hint="eastAsia" w:ascii="黑体"/>
            </w:rPr>
            <w:t>1.2</w:t>
          </w:r>
          <w:r>
            <w:rPr>
              <w:rStyle w:val="18"/>
              <w:rFonts w:hint="eastAsia"/>
            </w:rPr>
            <w:t xml:space="preserve"> 建设内容</w:t>
          </w:r>
          <w:r>
            <w:rPr>
              <w:rFonts w:hint="eastAsia"/>
            </w:rPr>
            <w:tab/>
          </w:r>
          <w:r>
            <w:rPr>
              <w:rFonts w:hint="eastAsia"/>
            </w:rPr>
            <w:fldChar w:fldCharType="begin"/>
          </w:r>
          <w:r>
            <w:rPr>
              <w:rFonts w:hint="eastAsia"/>
            </w:rPr>
            <w:instrText xml:space="preserve"> </w:instrText>
          </w:r>
          <w:r>
            <w:instrText xml:space="preserve">PAGEREF _Toc186452588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1F1AC541">
          <w:pPr>
            <w:pStyle w:val="13"/>
            <w:tabs>
              <w:tab w:val="right" w:leader="dot" w:pos="9064"/>
            </w:tabs>
            <w:ind w:left="480" w:firstLine="480"/>
            <w:rPr>
              <w:sz w:val="21"/>
              <w14:ligatures w14:val="standardContextual"/>
            </w:rPr>
          </w:pPr>
          <w:r>
            <w:fldChar w:fldCharType="begin"/>
          </w:r>
          <w:r>
            <w:instrText xml:space="preserve"> HYPERLINK \l "_Toc186452589" </w:instrText>
          </w:r>
          <w:r>
            <w:fldChar w:fldCharType="separate"/>
          </w:r>
          <w:r>
            <w:rPr>
              <w:rStyle w:val="18"/>
              <w:rFonts w:hint="eastAsia" w:ascii="黑体"/>
            </w:rPr>
            <w:t>1.3</w:t>
          </w:r>
          <w:r>
            <w:rPr>
              <w:rStyle w:val="18"/>
              <w:rFonts w:hint="eastAsia"/>
            </w:rPr>
            <w:t xml:space="preserve"> 总体描述</w:t>
          </w:r>
          <w:r>
            <w:rPr>
              <w:rFonts w:hint="eastAsia"/>
            </w:rPr>
            <w:tab/>
          </w:r>
          <w:r>
            <w:rPr>
              <w:rFonts w:hint="eastAsia"/>
            </w:rPr>
            <w:fldChar w:fldCharType="begin"/>
          </w:r>
          <w:r>
            <w:rPr>
              <w:rFonts w:hint="eastAsia"/>
            </w:rPr>
            <w:instrText xml:space="preserve"> </w:instrText>
          </w:r>
          <w:r>
            <w:instrText xml:space="preserve">PAGEREF _Toc186452589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10E16FE">
          <w:pPr>
            <w:pStyle w:val="13"/>
            <w:tabs>
              <w:tab w:val="right" w:leader="dot" w:pos="9064"/>
            </w:tabs>
            <w:ind w:left="480" w:firstLine="480"/>
            <w:rPr>
              <w:sz w:val="21"/>
              <w14:ligatures w14:val="standardContextual"/>
            </w:rPr>
          </w:pPr>
          <w:r>
            <w:fldChar w:fldCharType="begin"/>
          </w:r>
          <w:r>
            <w:instrText xml:space="preserve"> HYPERLINK \l "_Toc186452590" </w:instrText>
          </w:r>
          <w:r>
            <w:fldChar w:fldCharType="separate"/>
          </w:r>
          <w:r>
            <w:rPr>
              <w:rStyle w:val="18"/>
              <w:rFonts w:hint="eastAsia" w:ascii="黑体"/>
            </w:rPr>
            <w:t>1.4</w:t>
          </w:r>
          <w:r>
            <w:rPr>
              <w:rStyle w:val="18"/>
              <w:rFonts w:hint="eastAsia"/>
            </w:rPr>
            <w:t xml:space="preserve"> 设计原则</w:t>
          </w:r>
          <w:r>
            <w:rPr>
              <w:rFonts w:hint="eastAsia"/>
            </w:rPr>
            <w:tab/>
          </w:r>
          <w:r>
            <w:rPr>
              <w:rFonts w:hint="eastAsia"/>
            </w:rPr>
            <w:fldChar w:fldCharType="begin"/>
          </w:r>
          <w:r>
            <w:rPr>
              <w:rFonts w:hint="eastAsia"/>
            </w:rPr>
            <w:instrText xml:space="preserve"> </w:instrText>
          </w:r>
          <w:r>
            <w:instrText xml:space="preserve">PAGEREF _Toc186452590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7494F9F1">
          <w:pPr>
            <w:pStyle w:val="13"/>
            <w:tabs>
              <w:tab w:val="right" w:leader="dot" w:pos="9064"/>
            </w:tabs>
            <w:ind w:left="480" w:firstLine="480"/>
            <w:rPr>
              <w:sz w:val="21"/>
              <w14:ligatures w14:val="standardContextual"/>
            </w:rPr>
          </w:pPr>
          <w:r>
            <w:fldChar w:fldCharType="begin"/>
          </w:r>
          <w:r>
            <w:instrText xml:space="preserve"> HYPERLINK \l "_Toc186452591" </w:instrText>
          </w:r>
          <w:r>
            <w:fldChar w:fldCharType="separate"/>
          </w:r>
          <w:r>
            <w:rPr>
              <w:rStyle w:val="18"/>
              <w:rFonts w:hint="eastAsia" w:ascii="黑体"/>
            </w:rPr>
            <w:t>1.5</w:t>
          </w:r>
          <w:r>
            <w:rPr>
              <w:rStyle w:val="18"/>
              <w:rFonts w:hint="eastAsia"/>
            </w:rPr>
            <w:t xml:space="preserve"> 设备选型原则</w:t>
          </w:r>
          <w:r>
            <w:rPr>
              <w:rFonts w:hint="eastAsia"/>
            </w:rPr>
            <w:tab/>
          </w:r>
          <w:r>
            <w:rPr>
              <w:rFonts w:hint="eastAsia"/>
            </w:rPr>
            <w:fldChar w:fldCharType="begin"/>
          </w:r>
          <w:r>
            <w:rPr>
              <w:rFonts w:hint="eastAsia"/>
            </w:rPr>
            <w:instrText xml:space="preserve"> </w:instrText>
          </w:r>
          <w:r>
            <w:instrText xml:space="preserve">PAGEREF _Toc186452591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245936E">
          <w:pPr>
            <w:pStyle w:val="12"/>
            <w:tabs>
              <w:tab w:val="right" w:leader="dot" w:pos="9064"/>
            </w:tabs>
            <w:ind w:firstLine="480"/>
            <w:rPr>
              <w:sz w:val="21"/>
              <w14:ligatures w14:val="standardContextual"/>
            </w:rPr>
          </w:pPr>
          <w:r>
            <w:fldChar w:fldCharType="begin"/>
          </w:r>
          <w:r>
            <w:instrText xml:space="preserve"> HYPERLINK \l "_Toc186452592" </w:instrText>
          </w:r>
          <w:r>
            <w:fldChar w:fldCharType="separate"/>
          </w:r>
          <w:r>
            <w:rPr>
              <w:rStyle w:val="18"/>
              <w:rFonts w:hint="eastAsia"/>
            </w:rPr>
            <w:t>2 设计依据及范围</w:t>
          </w:r>
          <w:r>
            <w:rPr>
              <w:rFonts w:hint="eastAsia"/>
            </w:rPr>
            <w:tab/>
          </w:r>
          <w:r>
            <w:rPr>
              <w:rFonts w:hint="eastAsia"/>
            </w:rPr>
            <w:fldChar w:fldCharType="begin"/>
          </w:r>
          <w:r>
            <w:rPr>
              <w:rFonts w:hint="eastAsia"/>
            </w:rPr>
            <w:instrText xml:space="preserve"> </w:instrText>
          </w:r>
          <w:r>
            <w:instrText xml:space="preserve">PAGEREF _Toc186452592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235A6A0">
          <w:pPr>
            <w:pStyle w:val="13"/>
            <w:tabs>
              <w:tab w:val="right" w:leader="dot" w:pos="9064"/>
            </w:tabs>
            <w:ind w:left="480" w:firstLine="480"/>
            <w:rPr>
              <w:sz w:val="21"/>
              <w14:ligatures w14:val="standardContextual"/>
            </w:rPr>
          </w:pPr>
          <w:r>
            <w:fldChar w:fldCharType="begin"/>
          </w:r>
          <w:r>
            <w:instrText xml:space="preserve"> HYPERLINK \l "_Toc186452593" </w:instrText>
          </w:r>
          <w:r>
            <w:fldChar w:fldCharType="separate"/>
          </w:r>
          <w:r>
            <w:rPr>
              <w:rStyle w:val="18"/>
              <w:rFonts w:hint="eastAsia" w:ascii="黑体" w:hAnsi="Times New Roman"/>
            </w:rPr>
            <w:t>2.1</w:t>
          </w:r>
          <w:r>
            <w:rPr>
              <w:rStyle w:val="18"/>
              <w:rFonts w:hint="eastAsia" w:ascii="Times New Roman" w:hAnsi="Times New Roman"/>
            </w:rPr>
            <w:t xml:space="preserve"> 设计依据</w:t>
          </w:r>
          <w:r>
            <w:rPr>
              <w:rFonts w:hint="eastAsia"/>
            </w:rPr>
            <w:tab/>
          </w:r>
          <w:r>
            <w:rPr>
              <w:rFonts w:hint="eastAsia"/>
            </w:rPr>
            <w:fldChar w:fldCharType="begin"/>
          </w:r>
          <w:r>
            <w:rPr>
              <w:rFonts w:hint="eastAsia"/>
            </w:rPr>
            <w:instrText xml:space="preserve"> </w:instrText>
          </w:r>
          <w:r>
            <w:instrText xml:space="preserve">PAGEREF _Toc186452593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2F45FC6D">
          <w:pPr>
            <w:pStyle w:val="13"/>
            <w:tabs>
              <w:tab w:val="right" w:leader="dot" w:pos="9064"/>
            </w:tabs>
            <w:ind w:left="480" w:firstLine="480"/>
            <w:rPr>
              <w:sz w:val="21"/>
              <w14:ligatures w14:val="standardContextual"/>
            </w:rPr>
          </w:pPr>
          <w:r>
            <w:fldChar w:fldCharType="begin"/>
          </w:r>
          <w:r>
            <w:instrText xml:space="preserve"> HYPERLINK \l "_Toc186452594" </w:instrText>
          </w:r>
          <w:r>
            <w:fldChar w:fldCharType="separate"/>
          </w:r>
          <w:r>
            <w:rPr>
              <w:rStyle w:val="18"/>
              <w:rFonts w:hint="eastAsia" w:ascii="黑体" w:hAnsi="Times New Roman"/>
            </w:rPr>
            <w:t>2.2</w:t>
          </w:r>
          <w:r>
            <w:rPr>
              <w:rStyle w:val="18"/>
              <w:rFonts w:hint="eastAsia" w:ascii="Times New Roman" w:hAnsi="Times New Roman"/>
            </w:rPr>
            <w:t xml:space="preserve"> 工程范围</w:t>
          </w:r>
          <w:r>
            <w:rPr>
              <w:rFonts w:hint="eastAsia"/>
            </w:rPr>
            <w:tab/>
          </w:r>
          <w:r>
            <w:rPr>
              <w:rFonts w:hint="eastAsia"/>
            </w:rPr>
            <w:fldChar w:fldCharType="begin"/>
          </w:r>
          <w:r>
            <w:rPr>
              <w:rFonts w:hint="eastAsia"/>
            </w:rPr>
            <w:instrText xml:space="preserve"> </w:instrText>
          </w:r>
          <w:r>
            <w:instrText xml:space="preserve">PAGEREF _Toc186452594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AF1B332">
          <w:pPr>
            <w:pStyle w:val="12"/>
            <w:tabs>
              <w:tab w:val="right" w:leader="dot" w:pos="9064"/>
            </w:tabs>
            <w:ind w:firstLine="480"/>
            <w:rPr>
              <w:sz w:val="21"/>
              <w14:ligatures w14:val="standardContextual"/>
            </w:rPr>
          </w:pPr>
          <w:r>
            <w:fldChar w:fldCharType="begin"/>
          </w:r>
          <w:r>
            <w:instrText xml:space="preserve"> HYPERLINK \l "_Toc186452595" </w:instrText>
          </w:r>
          <w:r>
            <w:fldChar w:fldCharType="separate"/>
          </w:r>
          <w:r>
            <w:rPr>
              <w:rStyle w:val="18"/>
              <w:rFonts w:hint="eastAsia" w:hAnsi="Times New Roman"/>
            </w:rPr>
            <w:t>3</w:t>
          </w:r>
          <w:r>
            <w:rPr>
              <w:rStyle w:val="18"/>
              <w:rFonts w:hint="eastAsia" w:ascii="Times New Roman" w:hAnsi="Times New Roman"/>
            </w:rPr>
            <w:t xml:space="preserve"> 规划设计方案</w:t>
          </w:r>
          <w:r>
            <w:rPr>
              <w:rFonts w:hint="eastAsia"/>
            </w:rPr>
            <w:tab/>
          </w:r>
          <w:r>
            <w:rPr>
              <w:rFonts w:hint="eastAsia"/>
            </w:rPr>
            <w:fldChar w:fldCharType="begin"/>
          </w:r>
          <w:r>
            <w:rPr>
              <w:rFonts w:hint="eastAsia"/>
            </w:rPr>
            <w:instrText xml:space="preserve"> </w:instrText>
          </w:r>
          <w:r>
            <w:instrText xml:space="preserve">PAGEREF _Toc186452595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15745797">
          <w:pPr>
            <w:pStyle w:val="13"/>
            <w:tabs>
              <w:tab w:val="right" w:leader="dot" w:pos="9064"/>
            </w:tabs>
            <w:ind w:left="480" w:firstLine="480"/>
            <w:rPr>
              <w:sz w:val="21"/>
              <w14:ligatures w14:val="standardContextual"/>
            </w:rPr>
          </w:pPr>
          <w:r>
            <w:fldChar w:fldCharType="begin"/>
          </w:r>
          <w:r>
            <w:instrText xml:space="preserve"> HYPERLINK \l "_Toc186452596" </w:instrText>
          </w:r>
          <w:r>
            <w:fldChar w:fldCharType="separate"/>
          </w:r>
          <w:r>
            <w:rPr>
              <w:rStyle w:val="18"/>
              <w:rFonts w:hint="eastAsia" w:ascii="黑体" w:hAnsi="Times New Roman"/>
            </w:rPr>
            <w:t>3.1</w:t>
          </w:r>
          <w:r>
            <w:rPr>
              <w:rStyle w:val="18"/>
              <w:rFonts w:hint="eastAsia" w:ascii="Times New Roman" w:hAnsi="Times New Roman"/>
            </w:rPr>
            <w:t xml:space="preserve"> 基础信息</w:t>
          </w:r>
          <w:r>
            <w:rPr>
              <w:rFonts w:hint="eastAsia"/>
            </w:rPr>
            <w:tab/>
          </w:r>
          <w:r>
            <w:rPr>
              <w:rFonts w:hint="eastAsia"/>
            </w:rPr>
            <w:fldChar w:fldCharType="begin"/>
          </w:r>
          <w:r>
            <w:rPr>
              <w:rFonts w:hint="eastAsia"/>
            </w:rPr>
            <w:instrText xml:space="preserve"> </w:instrText>
          </w:r>
          <w:r>
            <w:instrText xml:space="preserve">PAGEREF _Toc186452596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2B50E7D7">
          <w:pPr>
            <w:pStyle w:val="9"/>
            <w:tabs>
              <w:tab w:val="right" w:leader="dot" w:pos="9064"/>
            </w:tabs>
            <w:ind w:left="960" w:firstLine="480"/>
            <w:rPr>
              <w:sz w:val="21"/>
              <w14:ligatures w14:val="standardContextual"/>
            </w:rPr>
          </w:pPr>
          <w:r>
            <w:fldChar w:fldCharType="begin"/>
          </w:r>
          <w:r>
            <w:instrText xml:space="preserve"> HYPERLINK \l "_Toc186452597" </w:instrText>
          </w:r>
          <w:r>
            <w:fldChar w:fldCharType="separate"/>
          </w:r>
          <w:r>
            <w:rPr>
              <w:rStyle w:val="18"/>
              <w:rFonts w:hint="eastAsia"/>
            </w:rPr>
            <w:t>3.1.1 业务运行数据</w:t>
          </w:r>
          <w:r>
            <w:rPr>
              <w:rFonts w:hint="eastAsia"/>
            </w:rPr>
            <w:tab/>
          </w:r>
          <w:r>
            <w:rPr>
              <w:rFonts w:hint="eastAsia"/>
            </w:rPr>
            <w:fldChar w:fldCharType="begin"/>
          </w:r>
          <w:r>
            <w:rPr>
              <w:rFonts w:hint="eastAsia"/>
            </w:rPr>
            <w:instrText xml:space="preserve"> </w:instrText>
          </w:r>
          <w:r>
            <w:instrText xml:space="preserve">PAGEREF _Toc186452597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9DAEE7B">
          <w:pPr>
            <w:pStyle w:val="9"/>
            <w:tabs>
              <w:tab w:val="right" w:leader="dot" w:pos="9064"/>
            </w:tabs>
            <w:ind w:left="960" w:firstLine="480"/>
            <w:rPr>
              <w:sz w:val="21"/>
              <w14:ligatures w14:val="standardContextual"/>
            </w:rPr>
          </w:pPr>
          <w:r>
            <w:fldChar w:fldCharType="begin"/>
          </w:r>
          <w:r>
            <w:instrText xml:space="preserve"> HYPERLINK \l "_Toc186452598" </w:instrText>
          </w:r>
          <w:r>
            <w:fldChar w:fldCharType="separate"/>
          </w:r>
          <w:r>
            <w:rPr>
              <w:rStyle w:val="18"/>
              <w:rFonts w:hint="eastAsia"/>
            </w:rPr>
            <w:t>3.1.2 基础物料单元数据</w:t>
          </w:r>
          <w:r>
            <w:rPr>
              <w:rFonts w:hint="eastAsia"/>
            </w:rPr>
            <w:tab/>
          </w:r>
          <w:r>
            <w:rPr>
              <w:rFonts w:hint="eastAsia"/>
            </w:rPr>
            <w:fldChar w:fldCharType="begin"/>
          </w:r>
          <w:r>
            <w:rPr>
              <w:rFonts w:hint="eastAsia"/>
            </w:rPr>
            <w:instrText xml:space="preserve"> </w:instrText>
          </w:r>
          <w:r>
            <w:instrText xml:space="preserve">PAGEREF _Toc186452598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3EFBDA8C">
          <w:pPr>
            <w:pStyle w:val="13"/>
            <w:tabs>
              <w:tab w:val="right" w:leader="dot" w:pos="9064"/>
            </w:tabs>
            <w:ind w:left="480" w:firstLine="480"/>
            <w:rPr>
              <w:sz w:val="21"/>
              <w14:ligatures w14:val="standardContextual"/>
            </w:rPr>
          </w:pPr>
          <w:r>
            <w:fldChar w:fldCharType="begin"/>
          </w:r>
          <w:r>
            <w:instrText xml:space="preserve"> HYPERLINK \l "_Toc186452599" </w:instrText>
          </w:r>
          <w:r>
            <w:fldChar w:fldCharType="separate"/>
          </w:r>
          <w:r>
            <w:rPr>
              <w:rStyle w:val="18"/>
              <w:rFonts w:hint="eastAsia" w:ascii="黑体" w:hAnsi="Times New Roman"/>
            </w:rPr>
            <w:t>3.2</w:t>
          </w:r>
          <w:r>
            <w:rPr>
              <w:rStyle w:val="18"/>
              <w:rFonts w:hint="eastAsia" w:ascii="Times New Roman" w:hAnsi="Times New Roman"/>
            </w:rPr>
            <w:t xml:space="preserve"> 总体布局</w:t>
          </w:r>
          <w:r>
            <w:rPr>
              <w:rFonts w:hint="eastAsia"/>
            </w:rPr>
            <w:tab/>
          </w:r>
          <w:r>
            <w:rPr>
              <w:rFonts w:hint="eastAsia"/>
            </w:rPr>
            <w:fldChar w:fldCharType="begin"/>
          </w:r>
          <w:r>
            <w:rPr>
              <w:rFonts w:hint="eastAsia"/>
            </w:rPr>
            <w:instrText xml:space="preserve"> </w:instrText>
          </w:r>
          <w:r>
            <w:instrText xml:space="preserve">PAGEREF _Toc186452599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EFBFBFB">
          <w:pPr>
            <w:pStyle w:val="12"/>
            <w:tabs>
              <w:tab w:val="right" w:leader="dot" w:pos="9064"/>
            </w:tabs>
            <w:ind w:firstLine="480"/>
            <w:rPr>
              <w:sz w:val="21"/>
              <w14:ligatures w14:val="standardContextual"/>
            </w:rPr>
          </w:pPr>
          <w:r>
            <w:fldChar w:fldCharType="begin"/>
          </w:r>
          <w:r>
            <w:instrText xml:space="preserve"> HYPERLINK \l "_Toc186452600" </w:instrText>
          </w:r>
          <w:r>
            <w:fldChar w:fldCharType="separate"/>
          </w:r>
          <w:r>
            <w:rPr>
              <w:rStyle w:val="18"/>
              <w:rFonts w:hint="eastAsia"/>
            </w:rPr>
            <w:t>4 设备技术方案</w:t>
          </w:r>
          <w:r>
            <w:rPr>
              <w:rFonts w:hint="eastAsia"/>
            </w:rPr>
            <w:tab/>
          </w:r>
          <w:r>
            <w:rPr>
              <w:rFonts w:hint="eastAsia"/>
            </w:rPr>
            <w:fldChar w:fldCharType="begin"/>
          </w:r>
          <w:r>
            <w:rPr>
              <w:rFonts w:hint="eastAsia"/>
            </w:rPr>
            <w:instrText xml:space="preserve"> </w:instrText>
          </w:r>
          <w:r>
            <w:instrText xml:space="preserve">PAGEREF _Toc186452600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03FEC532">
          <w:pPr>
            <w:pStyle w:val="13"/>
            <w:tabs>
              <w:tab w:val="right" w:leader="dot" w:pos="9064"/>
            </w:tabs>
            <w:ind w:left="480" w:firstLine="480"/>
            <w:rPr>
              <w:sz w:val="21"/>
              <w14:ligatures w14:val="standardContextual"/>
            </w:rPr>
          </w:pPr>
          <w:r>
            <w:fldChar w:fldCharType="begin"/>
          </w:r>
          <w:r>
            <w:instrText xml:space="preserve"> HYPERLINK \l "_Toc186452601" </w:instrText>
          </w:r>
          <w:r>
            <w:fldChar w:fldCharType="separate"/>
          </w:r>
          <w:r>
            <w:rPr>
              <w:rStyle w:val="18"/>
              <w:rFonts w:hint="eastAsia" w:ascii="黑体" w:hAnsi="Times New Roman"/>
            </w:rPr>
            <w:t>4.1</w:t>
          </w:r>
          <w:r>
            <w:rPr>
              <w:rStyle w:val="18"/>
              <w:rFonts w:hint="eastAsia" w:ascii="Times New Roman" w:hAnsi="Times New Roman"/>
            </w:rPr>
            <w:t xml:space="preserve"> 概括说明</w:t>
          </w:r>
          <w:r>
            <w:rPr>
              <w:rFonts w:hint="eastAsia"/>
            </w:rPr>
            <w:tab/>
          </w:r>
          <w:r>
            <w:rPr>
              <w:rFonts w:hint="eastAsia"/>
            </w:rPr>
            <w:fldChar w:fldCharType="begin"/>
          </w:r>
          <w:r>
            <w:rPr>
              <w:rFonts w:hint="eastAsia"/>
            </w:rPr>
            <w:instrText xml:space="preserve"> </w:instrText>
          </w:r>
          <w:r>
            <w:instrText xml:space="preserve">PAGEREF _Toc186452601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5FDFD00D">
          <w:pPr>
            <w:pStyle w:val="9"/>
            <w:tabs>
              <w:tab w:val="right" w:leader="dot" w:pos="9064"/>
            </w:tabs>
            <w:ind w:left="960" w:firstLine="480"/>
            <w:rPr>
              <w:sz w:val="21"/>
              <w14:ligatures w14:val="standardContextual"/>
            </w:rPr>
          </w:pPr>
          <w:r>
            <w:fldChar w:fldCharType="begin"/>
          </w:r>
          <w:r>
            <w:instrText xml:space="preserve"> HYPERLINK \l "_Toc186452602" </w:instrText>
          </w:r>
          <w:r>
            <w:fldChar w:fldCharType="separate"/>
          </w:r>
          <w:r>
            <w:rPr>
              <w:rStyle w:val="18"/>
              <w:rFonts w:hint="eastAsia"/>
            </w:rPr>
            <w:t>4.1.1 执行标准</w:t>
          </w:r>
          <w:r>
            <w:rPr>
              <w:rFonts w:hint="eastAsia"/>
            </w:rPr>
            <w:tab/>
          </w:r>
          <w:r>
            <w:rPr>
              <w:rFonts w:hint="eastAsia"/>
            </w:rPr>
            <w:fldChar w:fldCharType="begin"/>
          </w:r>
          <w:r>
            <w:rPr>
              <w:rFonts w:hint="eastAsia"/>
            </w:rPr>
            <w:instrText xml:space="preserve"> </w:instrText>
          </w:r>
          <w:r>
            <w:instrText xml:space="preserve">PAGEREF _Toc186452602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283D681A">
          <w:pPr>
            <w:pStyle w:val="9"/>
            <w:tabs>
              <w:tab w:val="right" w:leader="dot" w:pos="9064"/>
            </w:tabs>
            <w:ind w:left="960" w:firstLine="480"/>
            <w:rPr>
              <w:sz w:val="21"/>
              <w14:ligatures w14:val="standardContextual"/>
            </w:rPr>
          </w:pPr>
          <w:r>
            <w:fldChar w:fldCharType="begin"/>
          </w:r>
          <w:r>
            <w:instrText xml:space="preserve"> HYPERLINK \l "_Toc186452603" </w:instrText>
          </w:r>
          <w:r>
            <w:fldChar w:fldCharType="separate"/>
          </w:r>
          <w:r>
            <w:rPr>
              <w:rStyle w:val="18"/>
              <w:rFonts w:hint="eastAsia"/>
            </w:rPr>
            <w:t>4.1.2 通用要求</w:t>
          </w:r>
          <w:r>
            <w:rPr>
              <w:rFonts w:hint="eastAsia"/>
            </w:rPr>
            <w:tab/>
          </w:r>
          <w:r>
            <w:rPr>
              <w:rFonts w:hint="eastAsia"/>
            </w:rPr>
            <w:fldChar w:fldCharType="begin"/>
          </w:r>
          <w:r>
            <w:rPr>
              <w:rFonts w:hint="eastAsia"/>
            </w:rPr>
            <w:instrText xml:space="preserve"> </w:instrText>
          </w:r>
          <w:r>
            <w:instrText xml:space="preserve">PAGEREF _Toc186452603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56CF7E11">
          <w:pPr>
            <w:pStyle w:val="9"/>
            <w:tabs>
              <w:tab w:val="right" w:leader="dot" w:pos="9064"/>
            </w:tabs>
            <w:ind w:left="960" w:firstLine="480"/>
            <w:rPr>
              <w:sz w:val="21"/>
              <w14:ligatures w14:val="standardContextual"/>
            </w:rPr>
          </w:pPr>
          <w:r>
            <w:fldChar w:fldCharType="begin"/>
          </w:r>
          <w:r>
            <w:instrText xml:space="preserve"> HYPERLINK \l "_Toc186452604" </w:instrText>
          </w:r>
          <w:r>
            <w:fldChar w:fldCharType="separate"/>
          </w:r>
          <w:r>
            <w:rPr>
              <w:rStyle w:val="18"/>
              <w:rFonts w:hint="eastAsia"/>
            </w:rPr>
            <w:t>4.1.3 设备外观要求</w:t>
          </w:r>
          <w:r>
            <w:rPr>
              <w:rFonts w:hint="eastAsia"/>
            </w:rPr>
            <w:tab/>
          </w:r>
          <w:r>
            <w:rPr>
              <w:rFonts w:hint="eastAsia"/>
            </w:rPr>
            <w:fldChar w:fldCharType="begin"/>
          </w:r>
          <w:r>
            <w:rPr>
              <w:rFonts w:hint="eastAsia"/>
            </w:rPr>
            <w:instrText xml:space="preserve"> </w:instrText>
          </w:r>
          <w:r>
            <w:instrText xml:space="preserve">PAGEREF _Toc186452604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71243D19">
          <w:pPr>
            <w:pStyle w:val="13"/>
            <w:tabs>
              <w:tab w:val="right" w:leader="dot" w:pos="9064"/>
            </w:tabs>
            <w:ind w:left="480" w:firstLine="480"/>
            <w:rPr>
              <w:sz w:val="21"/>
              <w14:ligatures w14:val="standardContextual"/>
            </w:rPr>
          </w:pPr>
          <w:r>
            <w:fldChar w:fldCharType="begin"/>
          </w:r>
          <w:r>
            <w:instrText xml:space="preserve"> HYPERLINK \l "_Toc186452605" </w:instrText>
          </w:r>
          <w:r>
            <w:fldChar w:fldCharType="separate"/>
          </w:r>
          <w:r>
            <w:rPr>
              <w:rStyle w:val="18"/>
              <w:rFonts w:hint="eastAsia" w:ascii="黑体" w:hAnsi="Times New Roman"/>
            </w:rPr>
            <w:t>4.2</w:t>
          </w:r>
          <w:r>
            <w:rPr>
              <w:rStyle w:val="18"/>
              <w:rFonts w:hint="eastAsia" w:ascii="Times New Roman" w:hAnsi="Times New Roman"/>
            </w:rPr>
            <w:t xml:space="preserve"> 输送机</w:t>
          </w:r>
          <w:r>
            <w:rPr>
              <w:rFonts w:hint="eastAsia"/>
            </w:rPr>
            <w:tab/>
          </w:r>
          <w:r>
            <w:rPr>
              <w:rFonts w:hint="eastAsia"/>
            </w:rPr>
            <w:fldChar w:fldCharType="begin"/>
          </w:r>
          <w:r>
            <w:rPr>
              <w:rFonts w:hint="eastAsia"/>
            </w:rPr>
            <w:instrText xml:space="preserve"> </w:instrText>
          </w:r>
          <w:r>
            <w:instrText xml:space="preserve">PAGEREF _Toc186452605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1648C9A4">
          <w:pPr>
            <w:pStyle w:val="9"/>
            <w:tabs>
              <w:tab w:val="right" w:leader="dot" w:pos="9064"/>
            </w:tabs>
            <w:ind w:left="960" w:firstLine="480"/>
            <w:rPr>
              <w:sz w:val="21"/>
              <w14:ligatures w14:val="standardContextual"/>
            </w:rPr>
          </w:pPr>
          <w:r>
            <w:fldChar w:fldCharType="begin"/>
          </w:r>
          <w:r>
            <w:instrText xml:space="preserve"> HYPERLINK \l "_Toc186452606" </w:instrText>
          </w:r>
          <w:r>
            <w:fldChar w:fldCharType="separate"/>
          </w:r>
          <w:r>
            <w:rPr>
              <w:rStyle w:val="18"/>
              <w:rFonts w:hint="eastAsia"/>
            </w:rPr>
            <w:t>4.2.1 辊筒输送机</w:t>
          </w:r>
          <w:r>
            <w:rPr>
              <w:rFonts w:hint="eastAsia"/>
            </w:rPr>
            <w:tab/>
          </w:r>
          <w:r>
            <w:rPr>
              <w:rFonts w:hint="eastAsia"/>
            </w:rPr>
            <w:fldChar w:fldCharType="begin"/>
          </w:r>
          <w:r>
            <w:rPr>
              <w:rFonts w:hint="eastAsia"/>
            </w:rPr>
            <w:instrText xml:space="preserve"> </w:instrText>
          </w:r>
          <w:r>
            <w:instrText xml:space="preserve">PAGEREF _Toc186452606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016C5F3D">
          <w:pPr>
            <w:pStyle w:val="9"/>
            <w:tabs>
              <w:tab w:val="right" w:leader="dot" w:pos="9064"/>
            </w:tabs>
            <w:ind w:left="960" w:firstLine="480"/>
            <w:rPr>
              <w:sz w:val="21"/>
              <w14:ligatures w14:val="standardContextual"/>
            </w:rPr>
          </w:pPr>
          <w:r>
            <w:fldChar w:fldCharType="begin"/>
          </w:r>
          <w:r>
            <w:instrText xml:space="preserve"> HYPERLINK \l "_Toc186452607" </w:instrText>
          </w:r>
          <w:r>
            <w:fldChar w:fldCharType="separate"/>
          </w:r>
          <w:r>
            <w:rPr>
              <w:rStyle w:val="18"/>
              <w:rFonts w:hint="eastAsia"/>
            </w:rPr>
            <w:t>4.2.2 皮带输送</w:t>
          </w:r>
          <w:r>
            <w:rPr>
              <w:rFonts w:hint="eastAsia"/>
            </w:rPr>
            <w:tab/>
          </w:r>
          <w:r>
            <w:rPr>
              <w:rFonts w:hint="eastAsia"/>
            </w:rPr>
            <w:fldChar w:fldCharType="begin"/>
          </w:r>
          <w:r>
            <w:rPr>
              <w:rFonts w:hint="eastAsia"/>
            </w:rPr>
            <w:instrText xml:space="preserve"> </w:instrText>
          </w:r>
          <w:r>
            <w:instrText xml:space="preserve">PAGEREF _Toc186452607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358E65A7">
          <w:pPr>
            <w:pStyle w:val="9"/>
            <w:tabs>
              <w:tab w:val="right" w:leader="dot" w:pos="9064"/>
            </w:tabs>
            <w:ind w:left="960" w:firstLine="480"/>
            <w:rPr>
              <w:sz w:val="21"/>
              <w14:ligatures w14:val="standardContextual"/>
            </w:rPr>
          </w:pPr>
          <w:r>
            <w:fldChar w:fldCharType="begin"/>
          </w:r>
          <w:r>
            <w:instrText xml:space="preserve"> HYPERLINK \l "_Toc186452608" </w:instrText>
          </w:r>
          <w:r>
            <w:fldChar w:fldCharType="separate"/>
          </w:r>
          <w:r>
            <w:rPr>
              <w:rStyle w:val="18"/>
              <w:rFonts w:hint="eastAsia"/>
            </w:rPr>
            <w:t>4.2.3 箱式提升机</w:t>
          </w:r>
          <w:r>
            <w:rPr>
              <w:rFonts w:hint="eastAsia"/>
            </w:rPr>
            <w:tab/>
          </w:r>
          <w:r>
            <w:rPr>
              <w:rFonts w:hint="eastAsia"/>
            </w:rPr>
            <w:fldChar w:fldCharType="begin"/>
          </w:r>
          <w:r>
            <w:rPr>
              <w:rFonts w:hint="eastAsia"/>
            </w:rPr>
            <w:instrText xml:space="preserve"> </w:instrText>
          </w:r>
          <w:r>
            <w:instrText xml:space="preserve">PAGEREF _Toc186452608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32DE7DE1">
          <w:pPr>
            <w:pStyle w:val="13"/>
            <w:tabs>
              <w:tab w:val="right" w:leader="dot" w:pos="9064"/>
            </w:tabs>
            <w:ind w:left="480" w:firstLine="480"/>
            <w:rPr>
              <w:sz w:val="21"/>
              <w14:ligatures w14:val="standardContextual"/>
            </w:rPr>
          </w:pPr>
          <w:r>
            <w:fldChar w:fldCharType="begin"/>
          </w:r>
          <w:r>
            <w:instrText xml:space="preserve"> HYPERLINK \l "_Toc186452609" </w:instrText>
          </w:r>
          <w:r>
            <w:fldChar w:fldCharType="separate"/>
          </w:r>
          <w:r>
            <w:rPr>
              <w:rStyle w:val="18"/>
              <w:rFonts w:hint="eastAsia" w:ascii="黑体" w:hAnsi="Times New Roman"/>
            </w:rPr>
            <w:t>4.3</w:t>
          </w:r>
          <w:r>
            <w:rPr>
              <w:rStyle w:val="18"/>
              <w:rFonts w:hint="eastAsia" w:ascii="Times New Roman" w:hAnsi="Times New Roman"/>
            </w:rPr>
            <w:t xml:space="preserve"> 码垛机器人</w:t>
          </w:r>
          <w:r>
            <w:rPr>
              <w:rFonts w:hint="eastAsia"/>
            </w:rPr>
            <w:tab/>
          </w:r>
          <w:r>
            <w:rPr>
              <w:rFonts w:hint="eastAsia"/>
            </w:rPr>
            <w:fldChar w:fldCharType="begin"/>
          </w:r>
          <w:r>
            <w:rPr>
              <w:rFonts w:hint="eastAsia"/>
            </w:rPr>
            <w:instrText xml:space="preserve"> </w:instrText>
          </w:r>
          <w:r>
            <w:instrText xml:space="preserve">PAGEREF _Toc186452609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C8FE740">
          <w:pPr>
            <w:pStyle w:val="13"/>
            <w:tabs>
              <w:tab w:val="right" w:leader="dot" w:pos="9064"/>
            </w:tabs>
            <w:ind w:left="480" w:firstLine="480"/>
            <w:rPr>
              <w:sz w:val="21"/>
              <w14:ligatures w14:val="standardContextual"/>
            </w:rPr>
          </w:pPr>
          <w:r>
            <w:fldChar w:fldCharType="begin"/>
          </w:r>
          <w:r>
            <w:instrText xml:space="preserve"> HYPERLINK \l "_Toc186452610" </w:instrText>
          </w:r>
          <w:r>
            <w:fldChar w:fldCharType="separate"/>
          </w:r>
          <w:r>
            <w:rPr>
              <w:rStyle w:val="18"/>
              <w:rFonts w:hint="eastAsia" w:ascii="黑体" w:hAnsiTheme="minorEastAsia" w:cstheme="minorEastAsia"/>
            </w:rPr>
            <w:t>4.4</w:t>
          </w:r>
          <w:r>
            <w:rPr>
              <w:rStyle w:val="18"/>
              <w:rFonts w:hint="eastAsia" w:ascii="Times New Roman" w:hAnsi="Times New Roman"/>
            </w:rPr>
            <w:t xml:space="preserve"> 纸杯机自动上料</w:t>
          </w:r>
          <w:r>
            <w:rPr>
              <w:rFonts w:hint="eastAsia"/>
            </w:rPr>
            <w:tab/>
          </w:r>
          <w:r>
            <w:rPr>
              <w:rFonts w:hint="eastAsia"/>
            </w:rPr>
            <w:fldChar w:fldCharType="begin"/>
          </w:r>
          <w:r>
            <w:rPr>
              <w:rFonts w:hint="eastAsia"/>
            </w:rPr>
            <w:instrText xml:space="preserve"> </w:instrText>
          </w:r>
          <w:r>
            <w:instrText xml:space="preserve">PAGEREF _Toc186452610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57A732CD">
          <w:pPr>
            <w:pStyle w:val="12"/>
            <w:tabs>
              <w:tab w:val="right" w:leader="dot" w:pos="9064"/>
            </w:tabs>
            <w:ind w:firstLine="480"/>
            <w:rPr>
              <w:sz w:val="21"/>
              <w14:ligatures w14:val="standardContextual"/>
            </w:rPr>
          </w:pPr>
          <w:r>
            <w:fldChar w:fldCharType="begin"/>
          </w:r>
          <w:r>
            <w:instrText xml:space="preserve"> HYPERLINK \l "_Toc186452611" </w:instrText>
          </w:r>
          <w:r>
            <w:fldChar w:fldCharType="separate"/>
          </w:r>
          <w:r>
            <w:rPr>
              <w:rStyle w:val="18"/>
              <w:rFonts w:hint="eastAsia"/>
            </w:rPr>
            <w:t>5 电气控制系统</w:t>
          </w:r>
          <w:r>
            <w:rPr>
              <w:rFonts w:hint="eastAsia"/>
            </w:rPr>
            <w:tab/>
          </w:r>
          <w:r>
            <w:rPr>
              <w:rFonts w:hint="eastAsia"/>
            </w:rPr>
            <w:fldChar w:fldCharType="begin"/>
          </w:r>
          <w:r>
            <w:rPr>
              <w:rFonts w:hint="eastAsia"/>
            </w:rPr>
            <w:instrText xml:space="preserve"> </w:instrText>
          </w:r>
          <w:r>
            <w:instrText xml:space="preserve">PAGEREF _Toc186452611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4454D749">
          <w:pPr>
            <w:pStyle w:val="13"/>
            <w:tabs>
              <w:tab w:val="right" w:leader="dot" w:pos="9064"/>
            </w:tabs>
            <w:ind w:left="480" w:firstLine="480"/>
            <w:rPr>
              <w:sz w:val="21"/>
              <w14:ligatures w14:val="standardContextual"/>
            </w:rPr>
          </w:pPr>
          <w:r>
            <w:fldChar w:fldCharType="begin"/>
          </w:r>
          <w:r>
            <w:instrText xml:space="preserve"> HYPERLINK \l "_Toc186452612" </w:instrText>
          </w:r>
          <w:r>
            <w:fldChar w:fldCharType="separate"/>
          </w:r>
          <w:r>
            <w:rPr>
              <w:rStyle w:val="18"/>
              <w:rFonts w:hint="eastAsia" w:ascii="黑体"/>
            </w:rPr>
            <w:t>5.1</w:t>
          </w:r>
          <w:r>
            <w:rPr>
              <w:rStyle w:val="18"/>
              <w:rFonts w:hint="eastAsia"/>
            </w:rPr>
            <w:t xml:space="preserve"> 电气控制系统设计依据</w:t>
          </w:r>
          <w:r>
            <w:rPr>
              <w:rFonts w:hint="eastAsia"/>
            </w:rPr>
            <w:tab/>
          </w:r>
          <w:r>
            <w:rPr>
              <w:rFonts w:hint="eastAsia"/>
            </w:rPr>
            <w:fldChar w:fldCharType="begin"/>
          </w:r>
          <w:r>
            <w:rPr>
              <w:rFonts w:hint="eastAsia"/>
            </w:rPr>
            <w:instrText xml:space="preserve"> </w:instrText>
          </w:r>
          <w:r>
            <w:instrText xml:space="preserve">PAGEREF _Toc186452612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05D3EC2E">
          <w:pPr>
            <w:pStyle w:val="13"/>
            <w:tabs>
              <w:tab w:val="right" w:leader="dot" w:pos="9064"/>
            </w:tabs>
            <w:ind w:left="480" w:firstLine="480"/>
            <w:rPr>
              <w:sz w:val="21"/>
              <w14:ligatures w14:val="standardContextual"/>
            </w:rPr>
          </w:pPr>
          <w:r>
            <w:fldChar w:fldCharType="begin"/>
          </w:r>
          <w:r>
            <w:instrText xml:space="preserve"> HYPERLINK \l "_Toc186452613" </w:instrText>
          </w:r>
          <w:r>
            <w:fldChar w:fldCharType="separate"/>
          </w:r>
          <w:r>
            <w:rPr>
              <w:rStyle w:val="18"/>
              <w:rFonts w:hint="eastAsia" w:ascii="黑体"/>
            </w:rPr>
            <w:t>5.2</w:t>
          </w:r>
          <w:r>
            <w:rPr>
              <w:rStyle w:val="18"/>
              <w:rFonts w:hint="eastAsia"/>
            </w:rPr>
            <w:t xml:space="preserve"> 电气控制系统设计原则</w:t>
          </w:r>
          <w:r>
            <w:rPr>
              <w:rFonts w:hint="eastAsia"/>
            </w:rPr>
            <w:tab/>
          </w:r>
          <w:r>
            <w:rPr>
              <w:rFonts w:hint="eastAsia"/>
            </w:rPr>
            <w:fldChar w:fldCharType="begin"/>
          </w:r>
          <w:r>
            <w:rPr>
              <w:rFonts w:hint="eastAsia"/>
            </w:rPr>
            <w:instrText xml:space="preserve"> </w:instrText>
          </w:r>
          <w:r>
            <w:instrText xml:space="preserve">PAGEREF _Toc186452613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2E186054">
          <w:pPr>
            <w:pStyle w:val="13"/>
            <w:tabs>
              <w:tab w:val="right" w:leader="dot" w:pos="9064"/>
            </w:tabs>
            <w:ind w:left="480" w:firstLine="480"/>
            <w:rPr>
              <w:sz w:val="21"/>
              <w14:ligatures w14:val="standardContextual"/>
            </w:rPr>
          </w:pPr>
          <w:r>
            <w:fldChar w:fldCharType="begin"/>
          </w:r>
          <w:r>
            <w:instrText xml:space="preserve"> HYPERLINK \l "_Toc186452614" </w:instrText>
          </w:r>
          <w:r>
            <w:fldChar w:fldCharType="separate"/>
          </w:r>
          <w:r>
            <w:rPr>
              <w:rStyle w:val="18"/>
              <w:rFonts w:hint="eastAsia" w:ascii="黑体"/>
            </w:rPr>
            <w:t>5.3</w:t>
          </w:r>
          <w:r>
            <w:rPr>
              <w:rStyle w:val="18"/>
              <w:rFonts w:hint="eastAsia"/>
            </w:rPr>
            <w:t xml:space="preserve"> 设计标准</w:t>
          </w:r>
          <w:r>
            <w:rPr>
              <w:rFonts w:hint="eastAsia"/>
            </w:rPr>
            <w:tab/>
          </w:r>
          <w:r>
            <w:rPr>
              <w:rFonts w:hint="eastAsia"/>
            </w:rPr>
            <w:fldChar w:fldCharType="begin"/>
          </w:r>
          <w:r>
            <w:rPr>
              <w:rFonts w:hint="eastAsia"/>
            </w:rPr>
            <w:instrText xml:space="preserve"> </w:instrText>
          </w:r>
          <w:r>
            <w:instrText xml:space="preserve">PAGEREF _Toc186452614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78343228">
          <w:pPr>
            <w:pStyle w:val="13"/>
            <w:tabs>
              <w:tab w:val="right" w:leader="dot" w:pos="9064"/>
            </w:tabs>
            <w:ind w:left="480" w:firstLine="480"/>
            <w:rPr>
              <w:sz w:val="21"/>
              <w14:ligatures w14:val="standardContextual"/>
            </w:rPr>
          </w:pPr>
          <w:r>
            <w:fldChar w:fldCharType="begin"/>
          </w:r>
          <w:r>
            <w:instrText xml:space="preserve"> HYPERLINK \l "_Toc186452615" </w:instrText>
          </w:r>
          <w:r>
            <w:fldChar w:fldCharType="separate"/>
          </w:r>
          <w:r>
            <w:rPr>
              <w:rStyle w:val="18"/>
              <w:rFonts w:hint="eastAsia" w:ascii="黑体"/>
            </w:rPr>
            <w:t>5.4</w:t>
          </w:r>
          <w:r>
            <w:rPr>
              <w:rStyle w:val="18"/>
              <w:rFonts w:hint="eastAsia"/>
            </w:rPr>
            <w:t xml:space="preserve"> 系统设计规范</w:t>
          </w:r>
          <w:r>
            <w:rPr>
              <w:rFonts w:hint="eastAsia"/>
            </w:rPr>
            <w:tab/>
          </w:r>
          <w:r>
            <w:rPr>
              <w:rFonts w:hint="eastAsia"/>
            </w:rPr>
            <w:fldChar w:fldCharType="begin"/>
          </w:r>
          <w:r>
            <w:rPr>
              <w:rFonts w:hint="eastAsia"/>
            </w:rPr>
            <w:instrText xml:space="preserve"> </w:instrText>
          </w:r>
          <w:r>
            <w:instrText xml:space="preserve">PAGEREF _Toc186452615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057518DA">
          <w:pPr>
            <w:pStyle w:val="13"/>
            <w:tabs>
              <w:tab w:val="right" w:leader="dot" w:pos="9064"/>
            </w:tabs>
            <w:ind w:left="480" w:firstLine="480"/>
            <w:rPr>
              <w:sz w:val="21"/>
              <w14:ligatures w14:val="standardContextual"/>
            </w:rPr>
          </w:pPr>
          <w:r>
            <w:fldChar w:fldCharType="begin"/>
          </w:r>
          <w:r>
            <w:instrText xml:space="preserve"> HYPERLINK \l "_Toc186452616" </w:instrText>
          </w:r>
          <w:r>
            <w:fldChar w:fldCharType="separate"/>
          </w:r>
          <w:r>
            <w:rPr>
              <w:rStyle w:val="18"/>
              <w:rFonts w:hint="eastAsia" w:ascii="黑体"/>
            </w:rPr>
            <w:t>5.5</w:t>
          </w:r>
          <w:r>
            <w:rPr>
              <w:rStyle w:val="18"/>
              <w:rFonts w:hint="eastAsia"/>
            </w:rPr>
            <w:t xml:space="preserve"> 电气控制系统设计框架</w:t>
          </w:r>
          <w:r>
            <w:rPr>
              <w:rFonts w:hint="eastAsia"/>
            </w:rPr>
            <w:tab/>
          </w:r>
          <w:r>
            <w:rPr>
              <w:rFonts w:hint="eastAsia"/>
            </w:rPr>
            <w:fldChar w:fldCharType="begin"/>
          </w:r>
          <w:r>
            <w:rPr>
              <w:rFonts w:hint="eastAsia"/>
            </w:rPr>
            <w:instrText xml:space="preserve"> </w:instrText>
          </w:r>
          <w:r>
            <w:instrText xml:space="preserve">PAGEREF _Toc186452616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78472175">
          <w:pPr>
            <w:pStyle w:val="13"/>
            <w:tabs>
              <w:tab w:val="right" w:leader="dot" w:pos="9064"/>
            </w:tabs>
            <w:ind w:left="480" w:firstLine="480"/>
            <w:rPr>
              <w:sz w:val="21"/>
              <w14:ligatures w14:val="standardContextual"/>
            </w:rPr>
          </w:pPr>
          <w:r>
            <w:fldChar w:fldCharType="begin"/>
          </w:r>
          <w:r>
            <w:instrText xml:space="preserve"> HYPERLINK \l "_Toc186452617" </w:instrText>
          </w:r>
          <w:r>
            <w:fldChar w:fldCharType="separate"/>
          </w:r>
          <w:r>
            <w:rPr>
              <w:rStyle w:val="18"/>
              <w:rFonts w:hint="eastAsia" w:ascii="黑体"/>
            </w:rPr>
            <w:t>5.6</w:t>
          </w:r>
          <w:r>
            <w:rPr>
              <w:rStyle w:val="18"/>
              <w:rFonts w:hint="eastAsia"/>
            </w:rPr>
            <w:t xml:space="preserve"> 电气控制系统设计规范</w:t>
          </w:r>
          <w:r>
            <w:rPr>
              <w:rFonts w:hint="eastAsia"/>
            </w:rPr>
            <w:tab/>
          </w:r>
          <w:r>
            <w:rPr>
              <w:rFonts w:hint="eastAsia"/>
            </w:rPr>
            <w:fldChar w:fldCharType="begin"/>
          </w:r>
          <w:r>
            <w:rPr>
              <w:rFonts w:hint="eastAsia"/>
            </w:rPr>
            <w:instrText xml:space="preserve"> </w:instrText>
          </w:r>
          <w:r>
            <w:instrText xml:space="preserve">PAGEREF _Toc186452617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5BDB8388">
          <w:pPr>
            <w:pStyle w:val="13"/>
            <w:tabs>
              <w:tab w:val="right" w:leader="dot" w:pos="9064"/>
            </w:tabs>
            <w:ind w:left="480" w:firstLine="480"/>
            <w:rPr>
              <w:sz w:val="21"/>
              <w14:ligatures w14:val="standardContextual"/>
            </w:rPr>
          </w:pPr>
          <w:r>
            <w:fldChar w:fldCharType="begin"/>
          </w:r>
          <w:r>
            <w:instrText xml:space="preserve"> HYPERLINK \l "_Toc186452618" </w:instrText>
          </w:r>
          <w:r>
            <w:fldChar w:fldCharType="separate"/>
          </w:r>
          <w:r>
            <w:rPr>
              <w:rStyle w:val="18"/>
              <w:rFonts w:hint="eastAsia" w:ascii="黑体"/>
            </w:rPr>
            <w:t>5.7</w:t>
          </w:r>
          <w:r>
            <w:rPr>
              <w:rStyle w:val="18"/>
              <w:rFonts w:hint="eastAsia"/>
            </w:rPr>
            <w:t xml:space="preserve"> 供配电设计规范</w:t>
          </w:r>
          <w:r>
            <w:rPr>
              <w:rFonts w:hint="eastAsia"/>
            </w:rPr>
            <w:tab/>
          </w:r>
          <w:r>
            <w:rPr>
              <w:rFonts w:hint="eastAsia"/>
            </w:rPr>
            <w:fldChar w:fldCharType="begin"/>
          </w:r>
          <w:r>
            <w:rPr>
              <w:rFonts w:hint="eastAsia"/>
            </w:rPr>
            <w:instrText xml:space="preserve"> </w:instrText>
          </w:r>
          <w:r>
            <w:instrText xml:space="preserve">PAGEREF _Toc186452618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0F51E654">
          <w:pPr>
            <w:pStyle w:val="13"/>
            <w:tabs>
              <w:tab w:val="right" w:leader="dot" w:pos="9064"/>
            </w:tabs>
            <w:ind w:left="480" w:firstLine="480"/>
            <w:rPr>
              <w:sz w:val="21"/>
              <w14:ligatures w14:val="standardContextual"/>
            </w:rPr>
          </w:pPr>
          <w:r>
            <w:fldChar w:fldCharType="begin"/>
          </w:r>
          <w:r>
            <w:instrText xml:space="preserve"> HYPERLINK \l "_Toc186452619" </w:instrText>
          </w:r>
          <w:r>
            <w:fldChar w:fldCharType="separate"/>
          </w:r>
          <w:r>
            <w:rPr>
              <w:rStyle w:val="18"/>
              <w:rFonts w:hint="eastAsia" w:ascii="黑体"/>
            </w:rPr>
            <w:t>5.8</w:t>
          </w:r>
          <w:r>
            <w:rPr>
              <w:rStyle w:val="18"/>
              <w:rFonts w:hint="eastAsia"/>
            </w:rPr>
            <w:t xml:space="preserve"> 配电柜、控制柜设计规范</w:t>
          </w:r>
          <w:r>
            <w:rPr>
              <w:rFonts w:hint="eastAsia"/>
            </w:rPr>
            <w:tab/>
          </w:r>
          <w:r>
            <w:rPr>
              <w:rFonts w:hint="eastAsia"/>
            </w:rPr>
            <w:fldChar w:fldCharType="begin"/>
          </w:r>
          <w:r>
            <w:rPr>
              <w:rFonts w:hint="eastAsia"/>
            </w:rPr>
            <w:instrText xml:space="preserve"> </w:instrText>
          </w:r>
          <w:r>
            <w:instrText xml:space="preserve">PAGEREF _Toc186452619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53FDE9E6">
          <w:pPr>
            <w:pStyle w:val="9"/>
            <w:tabs>
              <w:tab w:val="right" w:leader="dot" w:pos="9064"/>
            </w:tabs>
            <w:ind w:left="960" w:firstLine="480"/>
            <w:rPr>
              <w:sz w:val="21"/>
              <w14:ligatures w14:val="standardContextual"/>
            </w:rPr>
          </w:pPr>
          <w:r>
            <w:fldChar w:fldCharType="begin"/>
          </w:r>
          <w:r>
            <w:instrText xml:space="preserve"> HYPERLINK \l "_Toc186452620" </w:instrText>
          </w:r>
          <w:r>
            <w:fldChar w:fldCharType="separate"/>
          </w:r>
          <w:r>
            <w:rPr>
              <w:rStyle w:val="18"/>
              <w:rFonts w:hint="eastAsia"/>
            </w:rPr>
            <w:t>5.8.1 现场控制箱设计规范</w:t>
          </w:r>
          <w:r>
            <w:rPr>
              <w:rFonts w:hint="eastAsia"/>
            </w:rPr>
            <w:tab/>
          </w:r>
          <w:r>
            <w:rPr>
              <w:rFonts w:hint="eastAsia"/>
            </w:rPr>
            <w:fldChar w:fldCharType="begin"/>
          </w:r>
          <w:r>
            <w:rPr>
              <w:rFonts w:hint="eastAsia"/>
            </w:rPr>
            <w:instrText xml:space="preserve"> </w:instrText>
          </w:r>
          <w:r>
            <w:instrText xml:space="preserve">PAGEREF _Toc186452620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4F02FE09">
          <w:pPr>
            <w:pStyle w:val="9"/>
            <w:tabs>
              <w:tab w:val="right" w:leader="dot" w:pos="9064"/>
            </w:tabs>
            <w:ind w:left="960" w:firstLine="480"/>
            <w:rPr>
              <w:sz w:val="21"/>
              <w14:ligatures w14:val="standardContextual"/>
            </w:rPr>
          </w:pPr>
          <w:r>
            <w:fldChar w:fldCharType="begin"/>
          </w:r>
          <w:r>
            <w:instrText xml:space="preserve"> HYPERLINK \l "_Toc186452621" </w:instrText>
          </w:r>
          <w:r>
            <w:fldChar w:fldCharType="separate"/>
          </w:r>
          <w:r>
            <w:rPr>
              <w:rStyle w:val="18"/>
              <w:rFonts w:hint="eastAsia"/>
            </w:rPr>
            <w:t>5.8.2 电机控制设计规范</w:t>
          </w:r>
          <w:r>
            <w:rPr>
              <w:rFonts w:hint="eastAsia"/>
            </w:rPr>
            <w:tab/>
          </w:r>
          <w:r>
            <w:rPr>
              <w:rFonts w:hint="eastAsia"/>
            </w:rPr>
            <w:fldChar w:fldCharType="begin"/>
          </w:r>
          <w:r>
            <w:rPr>
              <w:rFonts w:hint="eastAsia"/>
            </w:rPr>
            <w:instrText xml:space="preserve"> </w:instrText>
          </w:r>
          <w:r>
            <w:instrText xml:space="preserve">PAGEREF _Toc186452621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40D8852C">
          <w:pPr>
            <w:pStyle w:val="9"/>
            <w:tabs>
              <w:tab w:val="right" w:leader="dot" w:pos="9064"/>
            </w:tabs>
            <w:ind w:left="960" w:firstLine="480"/>
            <w:rPr>
              <w:sz w:val="21"/>
              <w14:ligatures w14:val="standardContextual"/>
            </w:rPr>
          </w:pPr>
          <w:r>
            <w:fldChar w:fldCharType="begin"/>
          </w:r>
          <w:r>
            <w:instrText xml:space="preserve"> HYPERLINK \l "_Toc186452622" </w:instrText>
          </w:r>
          <w:r>
            <w:fldChar w:fldCharType="separate"/>
          </w:r>
          <w:r>
            <w:rPr>
              <w:rStyle w:val="18"/>
              <w:rFonts w:hint="eastAsia"/>
            </w:rPr>
            <w:t>5.8.3 现场操作员终端</w:t>
          </w:r>
          <w:r>
            <w:rPr>
              <w:rFonts w:hint="eastAsia"/>
            </w:rPr>
            <w:tab/>
          </w:r>
          <w:r>
            <w:rPr>
              <w:rFonts w:hint="eastAsia"/>
            </w:rPr>
            <w:fldChar w:fldCharType="begin"/>
          </w:r>
          <w:r>
            <w:rPr>
              <w:rFonts w:hint="eastAsia"/>
            </w:rPr>
            <w:instrText xml:space="preserve"> </w:instrText>
          </w:r>
          <w:r>
            <w:instrText xml:space="preserve">PAGEREF _Toc186452622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4D79C406">
          <w:pPr>
            <w:pStyle w:val="9"/>
            <w:tabs>
              <w:tab w:val="right" w:leader="dot" w:pos="9064"/>
            </w:tabs>
            <w:ind w:left="960" w:firstLine="480"/>
            <w:rPr>
              <w:sz w:val="21"/>
              <w14:ligatures w14:val="standardContextual"/>
            </w:rPr>
          </w:pPr>
          <w:r>
            <w:fldChar w:fldCharType="begin"/>
          </w:r>
          <w:r>
            <w:instrText xml:space="preserve"> HYPERLINK \l "_Toc186452623" </w:instrText>
          </w:r>
          <w:r>
            <w:fldChar w:fldCharType="separate"/>
          </w:r>
          <w:r>
            <w:rPr>
              <w:rStyle w:val="18"/>
              <w:rFonts w:hint="eastAsia"/>
            </w:rPr>
            <w:t>5.8.4 条码识别</w:t>
          </w:r>
          <w:r>
            <w:rPr>
              <w:rFonts w:hint="eastAsia"/>
            </w:rPr>
            <w:tab/>
          </w:r>
          <w:r>
            <w:rPr>
              <w:rFonts w:hint="eastAsia"/>
            </w:rPr>
            <w:fldChar w:fldCharType="begin"/>
          </w:r>
          <w:r>
            <w:rPr>
              <w:rFonts w:hint="eastAsia"/>
            </w:rPr>
            <w:instrText xml:space="preserve"> </w:instrText>
          </w:r>
          <w:r>
            <w:instrText xml:space="preserve">PAGEREF _Toc186452623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5361E841">
          <w:pPr>
            <w:pStyle w:val="9"/>
            <w:tabs>
              <w:tab w:val="right" w:leader="dot" w:pos="9064"/>
            </w:tabs>
            <w:ind w:left="960" w:firstLine="480"/>
            <w:rPr>
              <w:sz w:val="21"/>
              <w14:ligatures w14:val="standardContextual"/>
            </w:rPr>
          </w:pPr>
          <w:r>
            <w:fldChar w:fldCharType="begin"/>
          </w:r>
          <w:r>
            <w:instrText xml:space="preserve"> HYPERLINK \l "_Toc186452624" </w:instrText>
          </w:r>
          <w:r>
            <w:fldChar w:fldCharType="separate"/>
          </w:r>
          <w:r>
            <w:rPr>
              <w:rStyle w:val="18"/>
              <w:rFonts w:hint="eastAsia"/>
            </w:rPr>
            <w:t>5.8.5 电缆桥架</w:t>
          </w:r>
          <w:r>
            <w:rPr>
              <w:rFonts w:hint="eastAsia"/>
            </w:rPr>
            <w:tab/>
          </w:r>
          <w:r>
            <w:rPr>
              <w:rFonts w:hint="eastAsia"/>
            </w:rPr>
            <w:fldChar w:fldCharType="begin"/>
          </w:r>
          <w:r>
            <w:rPr>
              <w:rFonts w:hint="eastAsia"/>
            </w:rPr>
            <w:instrText xml:space="preserve"> </w:instrText>
          </w:r>
          <w:r>
            <w:instrText xml:space="preserve">PAGEREF _Toc186452624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6E17E9CA">
          <w:pPr>
            <w:pStyle w:val="13"/>
            <w:tabs>
              <w:tab w:val="right" w:leader="dot" w:pos="9064"/>
            </w:tabs>
            <w:ind w:left="480" w:firstLine="480"/>
            <w:rPr>
              <w:sz w:val="21"/>
              <w14:ligatures w14:val="standardContextual"/>
            </w:rPr>
          </w:pPr>
          <w:r>
            <w:fldChar w:fldCharType="begin"/>
          </w:r>
          <w:r>
            <w:instrText xml:space="preserve"> HYPERLINK \l "_Toc186452625" </w:instrText>
          </w:r>
          <w:r>
            <w:fldChar w:fldCharType="separate"/>
          </w:r>
          <w:r>
            <w:rPr>
              <w:rStyle w:val="18"/>
              <w:rFonts w:hint="eastAsia" w:ascii="黑体"/>
            </w:rPr>
            <w:t>5.9</w:t>
          </w:r>
          <w:r>
            <w:rPr>
              <w:rStyle w:val="18"/>
              <w:rFonts w:hint="eastAsia"/>
            </w:rPr>
            <w:t xml:space="preserve"> 电控系统配置</w:t>
          </w:r>
          <w:r>
            <w:rPr>
              <w:rFonts w:hint="eastAsia"/>
            </w:rPr>
            <w:tab/>
          </w:r>
          <w:r>
            <w:rPr>
              <w:rFonts w:hint="eastAsia"/>
            </w:rPr>
            <w:fldChar w:fldCharType="begin"/>
          </w:r>
          <w:r>
            <w:rPr>
              <w:rFonts w:hint="eastAsia"/>
            </w:rPr>
            <w:instrText xml:space="preserve"> </w:instrText>
          </w:r>
          <w:r>
            <w:instrText xml:space="preserve">PAGEREF _Toc186452625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2670E4F8">
          <w:pPr>
            <w:pStyle w:val="13"/>
            <w:tabs>
              <w:tab w:val="right" w:leader="dot" w:pos="9064"/>
            </w:tabs>
            <w:ind w:left="480" w:firstLine="480"/>
            <w:rPr>
              <w:sz w:val="21"/>
              <w14:ligatures w14:val="standardContextual"/>
            </w:rPr>
          </w:pPr>
          <w:r>
            <w:fldChar w:fldCharType="begin"/>
          </w:r>
          <w:r>
            <w:instrText xml:space="preserve"> HYPERLINK \l "_Toc186452626" </w:instrText>
          </w:r>
          <w:r>
            <w:fldChar w:fldCharType="separate"/>
          </w:r>
          <w:r>
            <w:rPr>
              <w:rStyle w:val="18"/>
              <w:rFonts w:hint="eastAsia" w:ascii="黑体"/>
            </w:rPr>
            <w:t>5.10</w:t>
          </w:r>
          <w:r>
            <w:rPr>
              <w:rStyle w:val="18"/>
              <w:rFonts w:hint="eastAsia"/>
            </w:rPr>
            <w:t xml:space="preserve"> 电控系统主要功能</w:t>
          </w:r>
          <w:r>
            <w:rPr>
              <w:rFonts w:hint="eastAsia"/>
            </w:rPr>
            <w:tab/>
          </w:r>
          <w:r>
            <w:rPr>
              <w:rFonts w:hint="eastAsia"/>
            </w:rPr>
            <w:fldChar w:fldCharType="begin"/>
          </w:r>
          <w:r>
            <w:rPr>
              <w:rFonts w:hint="eastAsia"/>
            </w:rPr>
            <w:instrText xml:space="preserve"> </w:instrText>
          </w:r>
          <w:r>
            <w:instrText xml:space="preserve">PAGEREF _Toc186452626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540CB7DD">
          <w:pPr>
            <w:pStyle w:val="9"/>
            <w:tabs>
              <w:tab w:val="right" w:leader="dot" w:pos="9064"/>
            </w:tabs>
            <w:ind w:left="960" w:firstLine="480"/>
            <w:rPr>
              <w:sz w:val="21"/>
              <w14:ligatures w14:val="standardContextual"/>
            </w:rPr>
          </w:pPr>
          <w:r>
            <w:fldChar w:fldCharType="begin"/>
          </w:r>
          <w:r>
            <w:instrText xml:space="preserve"> HYPERLINK \l "_Toc186452627" </w:instrText>
          </w:r>
          <w:r>
            <w:fldChar w:fldCharType="separate"/>
          </w:r>
          <w:r>
            <w:rPr>
              <w:rStyle w:val="18"/>
              <w:rFonts w:hint="eastAsia"/>
            </w:rPr>
            <w:t>5.10.1 具备多种控制模式</w:t>
          </w:r>
          <w:r>
            <w:rPr>
              <w:rFonts w:hint="eastAsia"/>
            </w:rPr>
            <w:tab/>
          </w:r>
          <w:r>
            <w:rPr>
              <w:rFonts w:hint="eastAsia"/>
            </w:rPr>
            <w:fldChar w:fldCharType="begin"/>
          </w:r>
          <w:r>
            <w:rPr>
              <w:rFonts w:hint="eastAsia"/>
            </w:rPr>
            <w:instrText xml:space="preserve"> </w:instrText>
          </w:r>
          <w:r>
            <w:instrText xml:space="preserve">PAGEREF _Toc186452627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06F674DA">
          <w:pPr>
            <w:pStyle w:val="9"/>
            <w:tabs>
              <w:tab w:val="right" w:leader="dot" w:pos="9064"/>
            </w:tabs>
            <w:ind w:left="960" w:firstLine="480"/>
            <w:rPr>
              <w:sz w:val="21"/>
              <w14:ligatures w14:val="standardContextual"/>
            </w:rPr>
          </w:pPr>
          <w:r>
            <w:fldChar w:fldCharType="begin"/>
          </w:r>
          <w:r>
            <w:instrText xml:space="preserve"> HYPERLINK \l "_Toc186452628" </w:instrText>
          </w:r>
          <w:r>
            <w:fldChar w:fldCharType="separate"/>
          </w:r>
          <w:r>
            <w:rPr>
              <w:rStyle w:val="18"/>
              <w:rFonts w:hint="eastAsia"/>
            </w:rPr>
            <w:t>5.10.2 故障自动诊断报警功能</w:t>
          </w:r>
          <w:r>
            <w:rPr>
              <w:rFonts w:hint="eastAsia"/>
            </w:rPr>
            <w:tab/>
          </w:r>
          <w:r>
            <w:rPr>
              <w:rFonts w:hint="eastAsia"/>
            </w:rPr>
            <w:fldChar w:fldCharType="begin"/>
          </w:r>
          <w:r>
            <w:rPr>
              <w:rFonts w:hint="eastAsia"/>
            </w:rPr>
            <w:instrText xml:space="preserve"> </w:instrText>
          </w:r>
          <w:r>
            <w:instrText xml:space="preserve">PAGEREF _Toc186452628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37ED8153">
          <w:pPr>
            <w:pStyle w:val="9"/>
            <w:tabs>
              <w:tab w:val="right" w:leader="dot" w:pos="9064"/>
            </w:tabs>
            <w:ind w:left="960" w:firstLine="480"/>
            <w:rPr>
              <w:sz w:val="21"/>
              <w14:ligatures w14:val="standardContextual"/>
            </w:rPr>
          </w:pPr>
          <w:r>
            <w:fldChar w:fldCharType="begin"/>
          </w:r>
          <w:r>
            <w:instrText xml:space="preserve"> HYPERLINK \l "_Toc186452629" </w:instrText>
          </w:r>
          <w:r>
            <w:fldChar w:fldCharType="separate"/>
          </w:r>
          <w:r>
            <w:rPr>
              <w:rStyle w:val="18"/>
              <w:rFonts w:hint="eastAsia"/>
            </w:rPr>
            <w:t>5.10.3 设备监控功能</w:t>
          </w:r>
          <w:r>
            <w:rPr>
              <w:rFonts w:hint="eastAsia"/>
            </w:rPr>
            <w:tab/>
          </w:r>
          <w:r>
            <w:rPr>
              <w:rFonts w:hint="eastAsia"/>
            </w:rPr>
            <w:fldChar w:fldCharType="begin"/>
          </w:r>
          <w:r>
            <w:rPr>
              <w:rFonts w:hint="eastAsia"/>
            </w:rPr>
            <w:instrText xml:space="preserve"> </w:instrText>
          </w:r>
          <w:r>
            <w:instrText xml:space="preserve">PAGEREF _Toc186452629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2D87147C">
          <w:pPr>
            <w:pStyle w:val="9"/>
            <w:tabs>
              <w:tab w:val="right" w:leader="dot" w:pos="9064"/>
            </w:tabs>
            <w:ind w:left="960" w:firstLine="480"/>
            <w:rPr>
              <w:sz w:val="21"/>
              <w14:ligatures w14:val="standardContextual"/>
            </w:rPr>
          </w:pPr>
          <w:r>
            <w:fldChar w:fldCharType="begin"/>
          </w:r>
          <w:r>
            <w:instrText xml:space="preserve"> HYPERLINK \l "_Toc186452630" </w:instrText>
          </w:r>
          <w:r>
            <w:fldChar w:fldCharType="separate"/>
          </w:r>
          <w:r>
            <w:rPr>
              <w:rStyle w:val="18"/>
              <w:rFonts w:hint="eastAsia"/>
            </w:rPr>
            <w:t>5.10.4 信息查询及维护功能</w:t>
          </w:r>
          <w:r>
            <w:rPr>
              <w:rFonts w:hint="eastAsia"/>
            </w:rPr>
            <w:tab/>
          </w:r>
          <w:r>
            <w:rPr>
              <w:rFonts w:hint="eastAsia"/>
            </w:rPr>
            <w:fldChar w:fldCharType="begin"/>
          </w:r>
          <w:r>
            <w:rPr>
              <w:rFonts w:hint="eastAsia"/>
            </w:rPr>
            <w:instrText xml:space="preserve"> </w:instrText>
          </w:r>
          <w:r>
            <w:instrText xml:space="preserve">PAGEREF _Toc186452630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3229AFE4">
          <w:pPr>
            <w:pStyle w:val="9"/>
            <w:tabs>
              <w:tab w:val="right" w:leader="dot" w:pos="9064"/>
            </w:tabs>
            <w:ind w:left="960" w:firstLine="480"/>
            <w:rPr>
              <w:sz w:val="21"/>
              <w14:ligatures w14:val="standardContextual"/>
            </w:rPr>
          </w:pPr>
          <w:r>
            <w:fldChar w:fldCharType="begin"/>
          </w:r>
          <w:r>
            <w:instrText xml:space="preserve"> HYPERLINK \l "_Toc186452631" </w:instrText>
          </w:r>
          <w:r>
            <w:fldChar w:fldCharType="separate"/>
          </w:r>
          <w:r>
            <w:rPr>
              <w:rStyle w:val="18"/>
              <w:rFonts w:hint="eastAsia"/>
            </w:rPr>
            <w:t>5.10.5 安全保护功能</w:t>
          </w:r>
          <w:r>
            <w:rPr>
              <w:rFonts w:hint="eastAsia"/>
            </w:rPr>
            <w:tab/>
          </w:r>
          <w:r>
            <w:rPr>
              <w:rFonts w:hint="eastAsia"/>
            </w:rPr>
            <w:fldChar w:fldCharType="begin"/>
          </w:r>
          <w:r>
            <w:rPr>
              <w:rFonts w:hint="eastAsia"/>
            </w:rPr>
            <w:instrText xml:space="preserve"> </w:instrText>
          </w:r>
          <w:r>
            <w:instrText xml:space="preserve">PAGEREF _Toc186452631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044D8550">
          <w:pPr>
            <w:pStyle w:val="13"/>
            <w:tabs>
              <w:tab w:val="right" w:leader="dot" w:pos="9064"/>
            </w:tabs>
            <w:ind w:left="480" w:firstLine="480"/>
            <w:rPr>
              <w:sz w:val="21"/>
              <w14:ligatures w14:val="standardContextual"/>
            </w:rPr>
          </w:pPr>
          <w:r>
            <w:fldChar w:fldCharType="begin"/>
          </w:r>
          <w:r>
            <w:instrText xml:space="preserve"> HYPERLINK \l "_Toc186452632" </w:instrText>
          </w:r>
          <w:r>
            <w:fldChar w:fldCharType="separate"/>
          </w:r>
          <w:r>
            <w:rPr>
              <w:rStyle w:val="18"/>
              <w:rFonts w:hint="eastAsia" w:ascii="黑体"/>
            </w:rPr>
            <w:t>5.11</w:t>
          </w:r>
          <w:r>
            <w:rPr>
              <w:rStyle w:val="18"/>
              <w:rFonts w:hint="eastAsia"/>
            </w:rPr>
            <w:t xml:space="preserve"> 抗干扰措施</w:t>
          </w:r>
          <w:r>
            <w:rPr>
              <w:rFonts w:hint="eastAsia"/>
            </w:rPr>
            <w:tab/>
          </w:r>
          <w:r>
            <w:rPr>
              <w:rFonts w:hint="eastAsia"/>
            </w:rPr>
            <w:fldChar w:fldCharType="begin"/>
          </w:r>
          <w:r>
            <w:rPr>
              <w:rFonts w:hint="eastAsia"/>
            </w:rPr>
            <w:instrText xml:space="preserve"> </w:instrText>
          </w:r>
          <w:r>
            <w:instrText xml:space="preserve">PAGEREF _Toc186452632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2D000C7B">
          <w:pPr>
            <w:pStyle w:val="9"/>
            <w:tabs>
              <w:tab w:val="right" w:leader="dot" w:pos="9064"/>
            </w:tabs>
            <w:ind w:left="960" w:firstLine="480"/>
            <w:rPr>
              <w:sz w:val="21"/>
              <w14:ligatures w14:val="standardContextual"/>
            </w:rPr>
          </w:pPr>
          <w:r>
            <w:fldChar w:fldCharType="begin"/>
          </w:r>
          <w:r>
            <w:instrText xml:space="preserve"> HYPERLINK \l "_Toc186452633" </w:instrText>
          </w:r>
          <w:r>
            <w:fldChar w:fldCharType="separate"/>
          </w:r>
          <w:r>
            <w:rPr>
              <w:rStyle w:val="18"/>
              <w:rFonts w:hint="eastAsia"/>
            </w:rPr>
            <w:t>5.11.1 抗光干扰</w:t>
          </w:r>
          <w:r>
            <w:rPr>
              <w:rFonts w:hint="eastAsia"/>
            </w:rPr>
            <w:tab/>
          </w:r>
          <w:r>
            <w:rPr>
              <w:rFonts w:hint="eastAsia"/>
            </w:rPr>
            <w:fldChar w:fldCharType="begin"/>
          </w:r>
          <w:r>
            <w:rPr>
              <w:rFonts w:hint="eastAsia"/>
            </w:rPr>
            <w:instrText xml:space="preserve"> </w:instrText>
          </w:r>
          <w:r>
            <w:instrText xml:space="preserve">PAGEREF _Toc186452633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75EB89EC">
          <w:pPr>
            <w:pStyle w:val="9"/>
            <w:tabs>
              <w:tab w:val="right" w:leader="dot" w:pos="9064"/>
            </w:tabs>
            <w:ind w:left="960" w:firstLine="480"/>
            <w:rPr>
              <w:sz w:val="21"/>
              <w14:ligatures w14:val="standardContextual"/>
            </w:rPr>
          </w:pPr>
          <w:r>
            <w:fldChar w:fldCharType="begin"/>
          </w:r>
          <w:r>
            <w:instrText xml:space="preserve"> HYPERLINK \l "_Toc186452634" </w:instrText>
          </w:r>
          <w:r>
            <w:fldChar w:fldCharType="separate"/>
          </w:r>
          <w:r>
            <w:rPr>
              <w:rStyle w:val="18"/>
              <w:rFonts w:hint="eastAsia"/>
            </w:rPr>
            <w:t>5.11.2 抗电磁干扰</w:t>
          </w:r>
          <w:r>
            <w:rPr>
              <w:rFonts w:hint="eastAsia"/>
            </w:rPr>
            <w:tab/>
          </w:r>
          <w:r>
            <w:rPr>
              <w:rFonts w:hint="eastAsia"/>
            </w:rPr>
            <w:fldChar w:fldCharType="begin"/>
          </w:r>
          <w:r>
            <w:rPr>
              <w:rFonts w:hint="eastAsia"/>
            </w:rPr>
            <w:instrText xml:space="preserve"> </w:instrText>
          </w:r>
          <w:r>
            <w:instrText xml:space="preserve">PAGEREF _Toc186452634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68170843">
          <w:pPr>
            <w:pStyle w:val="9"/>
            <w:tabs>
              <w:tab w:val="right" w:leader="dot" w:pos="9064"/>
            </w:tabs>
            <w:ind w:left="960" w:firstLine="480"/>
            <w:rPr>
              <w:sz w:val="21"/>
              <w14:ligatures w14:val="standardContextual"/>
            </w:rPr>
          </w:pPr>
          <w:r>
            <w:fldChar w:fldCharType="begin"/>
          </w:r>
          <w:r>
            <w:instrText xml:space="preserve"> HYPERLINK \l "_Toc186452635" </w:instrText>
          </w:r>
          <w:r>
            <w:fldChar w:fldCharType="separate"/>
          </w:r>
          <w:r>
            <w:rPr>
              <w:rStyle w:val="18"/>
              <w:rFonts w:hint="eastAsia"/>
            </w:rPr>
            <w:t>5.11.3 抗误信号干扰</w:t>
          </w:r>
          <w:r>
            <w:rPr>
              <w:rFonts w:hint="eastAsia"/>
            </w:rPr>
            <w:tab/>
          </w:r>
          <w:r>
            <w:rPr>
              <w:rFonts w:hint="eastAsia"/>
            </w:rPr>
            <w:fldChar w:fldCharType="begin"/>
          </w:r>
          <w:r>
            <w:rPr>
              <w:rFonts w:hint="eastAsia"/>
            </w:rPr>
            <w:instrText xml:space="preserve"> </w:instrText>
          </w:r>
          <w:r>
            <w:instrText xml:space="preserve">PAGEREF _Toc186452635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56A4D0F9">
          <w:pPr>
            <w:pStyle w:val="13"/>
            <w:tabs>
              <w:tab w:val="right" w:leader="dot" w:pos="9064"/>
            </w:tabs>
            <w:ind w:left="480" w:firstLine="480"/>
            <w:rPr>
              <w:sz w:val="21"/>
              <w14:ligatures w14:val="standardContextual"/>
            </w:rPr>
          </w:pPr>
          <w:r>
            <w:fldChar w:fldCharType="begin"/>
          </w:r>
          <w:r>
            <w:instrText xml:space="preserve"> HYPERLINK \l "_Toc186452636" </w:instrText>
          </w:r>
          <w:r>
            <w:fldChar w:fldCharType="separate"/>
          </w:r>
          <w:r>
            <w:rPr>
              <w:rStyle w:val="18"/>
              <w:rFonts w:hint="eastAsia" w:ascii="黑体"/>
            </w:rPr>
            <w:t>5.12</w:t>
          </w:r>
          <w:r>
            <w:rPr>
              <w:rStyle w:val="18"/>
              <w:rFonts w:hint="eastAsia"/>
            </w:rPr>
            <w:t xml:space="preserve"> 控制接口功能</w:t>
          </w:r>
          <w:r>
            <w:rPr>
              <w:rFonts w:hint="eastAsia"/>
            </w:rPr>
            <w:tab/>
          </w:r>
          <w:r>
            <w:rPr>
              <w:rFonts w:hint="eastAsia"/>
            </w:rPr>
            <w:fldChar w:fldCharType="begin"/>
          </w:r>
          <w:r>
            <w:rPr>
              <w:rFonts w:hint="eastAsia"/>
            </w:rPr>
            <w:instrText xml:space="preserve"> </w:instrText>
          </w:r>
          <w:r>
            <w:instrText xml:space="preserve">PAGEREF _Toc186452636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0BF1CA1C">
          <w:pPr>
            <w:pStyle w:val="13"/>
            <w:tabs>
              <w:tab w:val="right" w:leader="dot" w:pos="9064"/>
            </w:tabs>
            <w:ind w:left="480" w:firstLine="480"/>
            <w:rPr>
              <w:sz w:val="21"/>
              <w14:ligatures w14:val="standardContextual"/>
            </w:rPr>
          </w:pPr>
          <w:r>
            <w:fldChar w:fldCharType="begin"/>
          </w:r>
          <w:r>
            <w:instrText xml:space="preserve"> HYPERLINK \l "_Toc186452637" </w:instrText>
          </w:r>
          <w:r>
            <w:fldChar w:fldCharType="separate"/>
          </w:r>
          <w:r>
            <w:rPr>
              <w:rStyle w:val="18"/>
              <w:rFonts w:hint="eastAsia" w:ascii="黑体"/>
            </w:rPr>
            <w:t>5.13</w:t>
          </w:r>
          <w:r>
            <w:rPr>
              <w:rStyle w:val="18"/>
              <w:rFonts w:hint="eastAsia"/>
            </w:rPr>
            <w:t xml:space="preserve"> 供电需求</w:t>
          </w:r>
          <w:r>
            <w:rPr>
              <w:rFonts w:hint="eastAsia"/>
            </w:rPr>
            <w:tab/>
          </w:r>
          <w:r>
            <w:rPr>
              <w:rFonts w:hint="eastAsia"/>
            </w:rPr>
            <w:fldChar w:fldCharType="begin"/>
          </w:r>
          <w:r>
            <w:rPr>
              <w:rFonts w:hint="eastAsia"/>
            </w:rPr>
            <w:instrText xml:space="preserve"> </w:instrText>
          </w:r>
          <w:r>
            <w:instrText xml:space="preserve">PAGEREF _Toc186452637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55E34BFE">
          <w:pPr>
            <w:pStyle w:val="9"/>
            <w:tabs>
              <w:tab w:val="right" w:leader="dot" w:pos="9064"/>
            </w:tabs>
            <w:ind w:left="960" w:firstLine="480"/>
            <w:rPr>
              <w:sz w:val="21"/>
              <w14:ligatures w14:val="standardContextual"/>
            </w:rPr>
          </w:pPr>
          <w:r>
            <w:fldChar w:fldCharType="begin"/>
          </w:r>
          <w:r>
            <w:instrText xml:space="preserve"> HYPERLINK \l "_Toc186452638" </w:instrText>
          </w:r>
          <w:r>
            <w:fldChar w:fldCharType="separate"/>
          </w:r>
          <w:r>
            <w:rPr>
              <w:rStyle w:val="18"/>
              <w:rFonts w:hint="eastAsia"/>
            </w:rPr>
            <w:t>5.13.1 供电要求</w:t>
          </w:r>
          <w:r>
            <w:rPr>
              <w:rFonts w:hint="eastAsia"/>
            </w:rPr>
            <w:tab/>
          </w:r>
          <w:r>
            <w:rPr>
              <w:rFonts w:hint="eastAsia"/>
            </w:rPr>
            <w:fldChar w:fldCharType="begin"/>
          </w:r>
          <w:r>
            <w:rPr>
              <w:rFonts w:hint="eastAsia"/>
            </w:rPr>
            <w:instrText xml:space="preserve"> </w:instrText>
          </w:r>
          <w:r>
            <w:instrText xml:space="preserve">PAGEREF _Toc186452638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0BE7357B">
          <w:pPr>
            <w:pStyle w:val="9"/>
            <w:tabs>
              <w:tab w:val="right" w:leader="dot" w:pos="9064"/>
            </w:tabs>
            <w:ind w:left="960" w:firstLine="480"/>
            <w:rPr>
              <w:sz w:val="21"/>
              <w14:ligatures w14:val="standardContextual"/>
            </w:rPr>
          </w:pPr>
          <w:r>
            <w:fldChar w:fldCharType="begin"/>
          </w:r>
          <w:r>
            <w:instrText xml:space="preserve"> HYPERLINK \l "_Toc186452639" </w:instrText>
          </w:r>
          <w:r>
            <w:fldChar w:fldCharType="separate"/>
          </w:r>
          <w:r>
            <w:rPr>
              <w:rStyle w:val="18"/>
              <w:rFonts w:hint="eastAsia"/>
            </w:rPr>
            <w:t>5.13.2 供电界面划分</w:t>
          </w:r>
          <w:r>
            <w:rPr>
              <w:rFonts w:hint="eastAsia"/>
            </w:rPr>
            <w:tab/>
          </w:r>
          <w:r>
            <w:rPr>
              <w:rFonts w:hint="eastAsia"/>
            </w:rPr>
            <w:fldChar w:fldCharType="begin"/>
          </w:r>
          <w:r>
            <w:rPr>
              <w:rFonts w:hint="eastAsia"/>
            </w:rPr>
            <w:instrText xml:space="preserve"> </w:instrText>
          </w:r>
          <w:r>
            <w:instrText xml:space="preserve">PAGEREF _Toc186452639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3FFB59DE">
          <w:pPr>
            <w:pStyle w:val="13"/>
            <w:tabs>
              <w:tab w:val="right" w:leader="dot" w:pos="9064"/>
            </w:tabs>
            <w:ind w:left="480" w:firstLine="480"/>
            <w:rPr>
              <w:sz w:val="21"/>
              <w14:ligatures w14:val="standardContextual"/>
            </w:rPr>
          </w:pPr>
          <w:r>
            <w:fldChar w:fldCharType="begin"/>
          </w:r>
          <w:r>
            <w:instrText xml:space="preserve"> HYPERLINK \l "_Toc186452640" </w:instrText>
          </w:r>
          <w:r>
            <w:fldChar w:fldCharType="separate"/>
          </w:r>
          <w:r>
            <w:rPr>
              <w:rStyle w:val="18"/>
              <w:rFonts w:hint="eastAsia" w:ascii="黑体"/>
            </w:rPr>
            <w:t>5.14</w:t>
          </w:r>
          <w:r>
            <w:rPr>
              <w:rStyle w:val="18"/>
              <w:rFonts w:hint="eastAsia"/>
            </w:rPr>
            <w:t xml:space="preserve"> 电控系统器件选型</w:t>
          </w:r>
          <w:r>
            <w:rPr>
              <w:rFonts w:hint="eastAsia"/>
            </w:rPr>
            <w:tab/>
          </w:r>
          <w:r>
            <w:rPr>
              <w:rFonts w:hint="eastAsia"/>
            </w:rPr>
            <w:fldChar w:fldCharType="begin"/>
          </w:r>
          <w:r>
            <w:rPr>
              <w:rFonts w:hint="eastAsia"/>
            </w:rPr>
            <w:instrText xml:space="preserve"> </w:instrText>
          </w:r>
          <w:r>
            <w:instrText xml:space="preserve">PAGEREF _Toc186452640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28B37D9B">
          <w:pPr>
            <w:pStyle w:val="12"/>
            <w:tabs>
              <w:tab w:val="right" w:leader="dot" w:pos="9064"/>
            </w:tabs>
            <w:ind w:firstLine="480"/>
            <w:rPr>
              <w:sz w:val="21"/>
              <w14:ligatures w14:val="standardContextual"/>
            </w:rPr>
          </w:pPr>
          <w:r>
            <w:fldChar w:fldCharType="begin"/>
          </w:r>
          <w:r>
            <w:instrText xml:space="preserve"> HYPERLINK \l "_Toc186452641" </w:instrText>
          </w:r>
          <w:r>
            <w:fldChar w:fldCharType="separate"/>
          </w:r>
          <w:r>
            <w:rPr>
              <w:rStyle w:val="18"/>
              <w:rFonts w:hint="eastAsia"/>
            </w:rPr>
            <w:t>6 人员培训</w:t>
          </w:r>
          <w:r>
            <w:rPr>
              <w:rFonts w:hint="eastAsia"/>
            </w:rPr>
            <w:tab/>
          </w:r>
          <w:r>
            <w:rPr>
              <w:rFonts w:hint="eastAsia"/>
            </w:rPr>
            <w:fldChar w:fldCharType="begin"/>
          </w:r>
          <w:r>
            <w:rPr>
              <w:rFonts w:hint="eastAsia"/>
            </w:rPr>
            <w:instrText xml:space="preserve"> </w:instrText>
          </w:r>
          <w:r>
            <w:instrText xml:space="preserve">PAGEREF _Toc186452641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08E662A0">
          <w:pPr>
            <w:pStyle w:val="13"/>
            <w:tabs>
              <w:tab w:val="right" w:leader="dot" w:pos="9064"/>
            </w:tabs>
            <w:ind w:left="480" w:firstLine="480"/>
            <w:rPr>
              <w:sz w:val="21"/>
              <w14:ligatures w14:val="standardContextual"/>
            </w:rPr>
          </w:pPr>
          <w:r>
            <w:fldChar w:fldCharType="begin"/>
          </w:r>
          <w:r>
            <w:instrText xml:space="preserve"> HYPERLINK \l "_Toc186452642" </w:instrText>
          </w:r>
          <w:r>
            <w:fldChar w:fldCharType="separate"/>
          </w:r>
          <w:r>
            <w:rPr>
              <w:rStyle w:val="18"/>
              <w:rFonts w:hint="eastAsia" w:ascii="黑体" w:hAnsi="Times New Roman"/>
            </w:rPr>
            <w:t>6.1</w:t>
          </w:r>
          <w:r>
            <w:rPr>
              <w:rStyle w:val="18"/>
              <w:rFonts w:hint="eastAsia" w:ascii="Times New Roman" w:hAnsi="Times New Roman"/>
            </w:rPr>
            <w:t xml:space="preserve"> 培训承诺书</w:t>
          </w:r>
          <w:r>
            <w:rPr>
              <w:rFonts w:hint="eastAsia"/>
            </w:rPr>
            <w:tab/>
          </w:r>
          <w:r>
            <w:rPr>
              <w:rFonts w:hint="eastAsia"/>
            </w:rPr>
            <w:fldChar w:fldCharType="begin"/>
          </w:r>
          <w:r>
            <w:rPr>
              <w:rFonts w:hint="eastAsia"/>
            </w:rPr>
            <w:instrText xml:space="preserve"> </w:instrText>
          </w:r>
          <w:r>
            <w:instrText xml:space="preserve">PAGEREF _Toc186452642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09625A43">
          <w:pPr>
            <w:pStyle w:val="13"/>
            <w:tabs>
              <w:tab w:val="right" w:leader="dot" w:pos="9064"/>
            </w:tabs>
            <w:ind w:left="480" w:firstLine="480"/>
            <w:rPr>
              <w:sz w:val="21"/>
              <w14:ligatures w14:val="standardContextual"/>
            </w:rPr>
          </w:pPr>
          <w:r>
            <w:fldChar w:fldCharType="begin"/>
          </w:r>
          <w:r>
            <w:instrText xml:space="preserve"> HYPERLINK \l "_Toc186452643" </w:instrText>
          </w:r>
          <w:r>
            <w:fldChar w:fldCharType="separate"/>
          </w:r>
          <w:r>
            <w:rPr>
              <w:rStyle w:val="18"/>
              <w:rFonts w:hint="eastAsia" w:ascii="黑体" w:hAnsi="Times New Roman"/>
            </w:rPr>
            <w:t>6.2</w:t>
          </w:r>
          <w:r>
            <w:rPr>
              <w:rStyle w:val="18"/>
              <w:rFonts w:hint="eastAsia" w:ascii="Times New Roman" w:hAnsi="Times New Roman"/>
            </w:rPr>
            <w:t xml:space="preserve"> 培训目的</w:t>
          </w:r>
          <w:r>
            <w:rPr>
              <w:rFonts w:hint="eastAsia"/>
            </w:rPr>
            <w:tab/>
          </w:r>
          <w:r>
            <w:rPr>
              <w:rFonts w:hint="eastAsia"/>
            </w:rPr>
            <w:fldChar w:fldCharType="begin"/>
          </w:r>
          <w:r>
            <w:rPr>
              <w:rFonts w:hint="eastAsia"/>
            </w:rPr>
            <w:instrText xml:space="preserve"> </w:instrText>
          </w:r>
          <w:r>
            <w:instrText xml:space="preserve">PAGEREF _Toc186452643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1D2D706B">
          <w:pPr>
            <w:pStyle w:val="13"/>
            <w:tabs>
              <w:tab w:val="right" w:leader="dot" w:pos="9064"/>
            </w:tabs>
            <w:ind w:left="480" w:firstLine="480"/>
            <w:rPr>
              <w:sz w:val="21"/>
              <w14:ligatures w14:val="standardContextual"/>
            </w:rPr>
          </w:pPr>
          <w:r>
            <w:fldChar w:fldCharType="begin"/>
          </w:r>
          <w:r>
            <w:instrText xml:space="preserve"> HYPERLINK \l "_Toc186452644" </w:instrText>
          </w:r>
          <w:r>
            <w:fldChar w:fldCharType="separate"/>
          </w:r>
          <w:r>
            <w:rPr>
              <w:rStyle w:val="18"/>
              <w:rFonts w:hint="eastAsia" w:ascii="黑体" w:hAnsi="Times New Roman"/>
            </w:rPr>
            <w:t>6.3</w:t>
          </w:r>
          <w:r>
            <w:rPr>
              <w:rStyle w:val="18"/>
              <w:rFonts w:hint="eastAsia" w:ascii="Times New Roman" w:hAnsi="Times New Roman"/>
            </w:rPr>
            <w:t xml:space="preserve"> 培训服务原则</w:t>
          </w:r>
          <w:r>
            <w:rPr>
              <w:rFonts w:hint="eastAsia"/>
            </w:rPr>
            <w:tab/>
          </w:r>
          <w:r>
            <w:rPr>
              <w:rFonts w:hint="eastAsia"/>
            </w:rPr>
            <w:fldChar w:fldCharType="begin"/>
          </w:r>
          <w:r>
            <w:rPr>
              <w:rFonts w:hint="eastAsia"/>
            </w:rPr>
            <w:instrText xml:space="preserve"> </w:instrText>
          </w:r>
          <w:r>
            <w:instrText xml:space="preserve">PAGEREF _Toc186452644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733E758F">
          <w:pPr>
            <w:pStyle w:val="13"/>
            <w:tabs>
              <w:tab w:val="right" w:leader="dot" w:pos="9064"/>
            </w:tabs>
            <w:ind w:left="480" w:firstLine="480"/>
            <w:rPr>
              <w:sz w:val="21"/>
              <w14:ligatures w14:val="standardContextual"/>
            </w:rPr>
          </w:pPr>
          <w:r>
            <w:fldChar w:fldCharType="begin"/>
          </w:r>
          <w:r>
            <w:instrText xml:space="preserve"> HYPERLINK \l "_Toc186452645" </w:instrText>
          </w:r>
          <w:r>
            <w:fldChar w:fldCharType="separate"/>
          </w:r>
          <w:r>
            <w:rPr>
              <w:rStyle w:val="18"/>
              <w:rFonts w:hint="eastAsia" w:ascii="黑体" w:hAnsi="Times New Roman"/>
            </w:rPr>
            <w:t>6.4</w:t>
          </w:r>
          <w:r>
            <w:rPr>
              <w:rStyle w:val="18"/>
              <w:rFonts w:hint="eastAsia" w:ascii="Times New Roman" w:hAnsi="Times New Roman"/>
            </w:rPr>
            <w:t xml:space="preserve"> 培训形式与组织</w:t>
          </w:r>
          <w:r>
            <w:rPr>
              <w:rFonts w:hint="eastAsia"/>
            </w:rPr>
            <w:tab/>
          </w:r>
          <w:r>
            <w:rPr>
              <w:rFonts w:hint="eastAsia"/>
            </w:rPr>
            <w:fldChar w:fldCharType="begin"/>
          </w:r>
          <w:r>
            <w:rPr>
              <w:rFonts w:hint="eastAsia"/>
            </w:rPr>
            <w:instrText xml:space="preserve"> </w:instrText>
          </w:r>
          <w:r>
            <w:instrText xml:space="preserve">PAGEREF _Toc186452645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3E30F419">
          <w:pPr>
            <w:pStyle w:val="13"/>
            <w:tabs>
              <w:tab w:val="right" w:leader="dot" w:pos="9064"/>
            </w:tabs>
            <w:ind w:left="480" w:firstLine="480"/>
            <w:rPr>
              <w:sz w:val="21"/>
              <w14:ligatures w14:val="standardContextual"/>
            </w:rPr>
          </w:pPr>
          <w:r>
            <w:fldChar w:fldCharType="begin"/>
          </w:r>
          <w:r>
            <w:instrText xml:space="preserve"> HYPERLINK \l "_Toc186452646" </w:instrText>
          </w:r>
          <w:r>
            <w:fldChar w:fldCharType="separate"/>
          </w:r>
          <w:r>
            <w:rPr>
              <w:rStyle w:val="18"/>
              <w:rFonts w:hint="eastAsia" w:ascii="黑体" w:hAnsi="Times New Roman"/>
            </w:rPr>
            <w:t>6.5</w:t>
          </w:r>
          <w:r>
            <w:rPr>
              <w:rStyle w:val="18"/>
              <w:rFonts w:hint="eastAsia" w:ascii="Times New Roman" w:hAnsi="Times New Roman"/>
            </w:rPr>
            <w:t xml:space="preserve"> 培训目标</w:t>
          </w:r>
          <w:r>
            <w:rPr>
              <w:rFonts w:hint="eastAsia"/>
            </w:rPr>
            <w:tab/>
          </w:r>
          <w:r>
            <w:rPr>
              <w:rFonts w:hint="eastAsia"/>
            </w:rPr>
            <w:fldChar w:fldCharType="begin"/>
          </w:r>
          <w:r>
            <w:rPr>
              <w:rFonts w:hint="eastAsia"/>
            </w:rPr>
            <w:instrText xml:space="preserve"> </w:instrText>
          </w:r>
          <w:r>
            <w:instrText xml:space="preserve">PAGEREF _Toc186452646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77113460">
          <w:pPr>
            <w:pStyle w:val="13"/>
            <w:tabs>
              <w:tab w:val="right" w:leader="dot" w:pos="9064"/>
            </w:tabs>
            <w:ind w:left="480" w:firstLine="480"/>
            <w:rPr>
              <w:sz w:val="21"/>
              <w14:ligatures w14:val="standardContextual"/>
            </w:rPr>
          </w:pPr>
          <w:r>
            <w:fldChar w:fldCharType="begin"/>
          </w:r>
          <w:r>
            <w:instrText xml:space="preserve"> HYPERLINK \l "_Toc186452647" </w:instrText>
          </w:r>
          <w:r>
            <w:fldChar w:fldCharType="separate"/>
          </w:r>
          <w:r>
            <w:rPr>
              <w:rStyle w:val="18"/>
              <w:rFonts w:hint="eastAsia" w:ascii="黑体" w:hAnsi="Times New Roman"/>
            </w:rPr>
            <w:t>6.6</w:t>
          </w:r>
          <w:r>
            <w:rPr>
              <w:rStyle w:val="18"/>
              <w:rFonts w:hint="eastAsia" w:ascii="Times New Roman" w:hAnsi="Times New Roman"/>
            </w:rPr>
            <w:t xml:space="preserve"> 培训内容</w:t>
          </w:r>
          <w:r>
            <w:rPr>
              <w:rFonts w:hint="eastAsia"/>
            </w:rPr>
            <w:tab/>
          </w:r>
          <w:r>
            <w:rPr>
              <w:rFonts w:hint="eastAsia"/>
            </w:rPr>
            <w:fldChar w:fldCharType="begin"/>
          </w:r>
          <w:r>
            <w:rPr>
              <w:rFonts w:hint="eastAsia"/>
            </w:rPr>
            <w:instrText xml:space="preserve"> </w:instrText>
          </w:r>
          <w:r>
            <w:instrText xml:space="preserve">PAGEREF _Toc186452647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6A134A26">
          <w:pPr>
            <w:pStyle w:val="12"/>
            <w:tabs>
              <w:tab w:val="right" w:leader="dot" w:pos="9064"/>
            </w:tabs>
            <w:ind w:firstLine="480"/>
            <w:rPr>
              <w:sz w:val="21"/>
              <w14:ligatures w14:val="standardContextual"/>
            </w:rPr>
          </w:pPr>
          <w:r>
            <w:fldChar w:fldCharType="begin"/>
          </w:r>
          <w:r>
            <w:instrText xml:space="preserve"> HYPERLINK \l "_Toc186452648" </w:instrText>
          </w:r>
          <w:r>
            <w:fldChar w:fldCharType="separate"/>
          </w:r>
          <w:r>
            <w:rPr>
              <w:rStyle w:val="18"/>
              <w:rFonts w:hint="eastAsia"/>
            </w:rPr>
            <w:t>7 项目组织及实施方案</w:t>
          </w:r>
          <w:r>
            <w:rPr>
              <w:rFonts w:hint="eastAsia"/>
            </w:rPr>
            <w:tab/>
          </w:r>
          <w:r>
            <w:rPr>
              <w:rFonts w:hint="eastAsia"/>
            </w:rPr>
            <w:fldChar w:fldCharType="begin"/>
          </w:r>
          <w:r>
            <w:rPr>
              <w:rFonts w:hint="eastAsia"/>
            </w:rPr>
            <w:instrText xml:space="preserve"> </w:instrText>
          </w:r>
          <w:r>
            <w:instrText xml:space="preserve">PAGEREF _Toc186452648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011076A4">
          <w:pPr>
            <w:pStyle w:val="13"/>
            <w:tabs>
              <w:tab w:val="right" w:leader="dot" w:pos="9064"/>
            </w:tabs>
            <w:ind w:left="480" w:firstLine="480"/>
            <w:rPr>
              <w:sz w:val="21"/>
              <w14:ligatures w14:val="standardContextual"/>
            </w:rPr>
          </w:pPr>
          <w:r>
            <w:fldChar w:fldCharType="begin"/>
          </w:r>
          <w:r>
            <w:instrText xml:space="preserve"> HYPERLINK \l "_Toc186452649" </w:instrText>
          </w:r>
          <w:r>
            <w:fldChar w:fldCharType="separate"/>
          </w:r>
          <w:r>
            <w:rPr>
              <w:rStyle w:val="18"/>
              <w:rFonts w:hint="eastAsia" w:ascii="黑体" w:hAnsi="Times New Roman"/>
            </w:rPr>
            <w:t>7.1</w:t>
          </w:r>
          <w:r>
            <w:rPr>
              <w:rStyle w:val="18"/>
              <w:rFonts w:hint="eastAsia" w:ascii="Times New Roman" w:hAnsi="Times New Roman"/>
            </w:rPr>
            <w:t xml:space="preserve"> 进度方案</w:t>
          </w:r>
          <w:r>
            <w:rPr>
              <w:rFonts w:hint="eastAsia"/>
            </w:rPr>
            <w:tab/>
          </w:r>
          <w:r>
            <w:rPr>
              <w:rFonts w:hint="eastAsia"/>
            </w:rPr>
            <w:fldChar w:fldCharType="begin"/>
          </w:r>
          <w:r>
            <w:rPr>
              <w:rFonts w:hint="eastAsia"/>
            </w:rPr>
            <w:instrText xml:space="preserve"> </w:instrText>
          </w:r>
          <w:r>
            <w:instrText xml:space="preserve">PAGEREF _Toc186452649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6FA41517">
          <w:pPr>
            <w:pStyle w:val="9"/>
            <w:tabs>
              <w:tab w:val="right" w:leader="dot" w:pos="9064"/>
            </w:tabs>
            <w:ind w:left="960" w:firstLine="480"/>
            <w:rPr>
              <w:sz w:val="21"/>
              <w14:ligatures w14:val="standardContextual"/>
            </w:rPr>
          </w:pPr>
          <w:r>
            <w:fldChar w:fldCharType="begin"/>
          </w:r>
          <w:r>
            <w:instrText xml:space="preserve"> HYPERLINK \l "_Toc186452650" </w:instrText>
          </w:r>
          <w:r>
            <w:fldChar w:fldCharType="separate"/>
          </w:r>
          <w:r>
            <w:rPr>
              <w:rStyle w:val="18"/>
              <w:rFonts w:hint="eastAsia"/>
            </w:rPr>
            <w:t>7.1.1 进度整体目标</w:t>
          </w:r>
          <w:r>
            <w:rPr>
              <w:rFonts w:hint="eastAsia"/>
            </w:rPr>
            <w:tab/>
          </w:r>
          <w:r>
            <w:rPr>
              <w:rFonts w:hint="eastAsia"/>
            </w:rPr>
            <w:fldChar w:fldCharType="begin"/>
          </w:r>
          <w:r>
            <w:rPr>
              <w:rFonts w:hint="eastAsia"/>
            </w:rPr>
            <w:instrText xml:space="preserve"> </w:instrText>
          </w:r>
          <w:r>
            <w:instrText xml:space="preserve">PAGEREF _Toc186452650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04CA174F">
          <w:pPr>
            <w:pStyle w:val="9"/>
            <w:tabs>
              <w:tab w:val="right" w:leader="dot" w:pos="9064"/>
            </w:tabs>
            <w:ind w:left="960" w:firstLine="480"/>
            <w:rPr>
              <w:sz w:val="21"/>
              <w14:ligatures w14:val="standardContextual"/>
            </w:rPr>
          </w:pPr>
          <w:r>
            <w:fldChar w:fldCharType="begin"/>
          </w:r>
          <w:r>
            <w:instrText xml:space="preserve"> HYPERLINK \l "_Toc186452651" </w:instrText>
          </w:r>
          <w:r>
            <w:fldChar w:fldCharType="separate"/>
          </w:r>
          <w:r>
            <w:rPr>
              <w:rStyle w:val="18"/>
              <w:rFonts w:hint="eastAsia"/>
            </w:rPr>
            <w:t>7.1.2 施工进度计划</w:t>
          </w:r>
          <w:r>
            <w:rPr>
              <w:rFonts w:hint="eastAsia"/>
            </w:rPr>
            <w:tab/>
          </w:r>
          <w:r>
            <w:rPr>
              <w:rFonts w:hint="eastAsia"/>
            </w:rPr>
            <w:fldChar w:fldCharType="begin"/>
          </w:r>
          <w:r>
            <w:rPr>
              <w:rFonts w:hint="eastAsia"/>
            </w:rPr>
            <w:instrText xml:space="preserve"> </w:instrText>
          </w:r>
          <w:r>
            <w:instrText xml:space="preserve">PAGEREF _Toc186452651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57ECEBC4">
          <w:pPr>
            <w:pStyle w:val="9"/>
            <w:tabs>
              <w:tab w:val="right" w:leader="dot" w:pos="9064"/>
            </w:tabs>
            <w:ind w:left="960" w:firstLine="480"/>
            <w:rPr>
              <w:sz w:val="21"/>
              <w14:ligatures w14:val="standardContextual"/>
            </w:rPr>
          </w:pPr>
          <w:r>
            <w:fldChar w:fldCharType="begin"/>
          </w:r>
          <w:r>
            <w:instrText xml:space="preserve"> HYPERLINK \l "_Toc186452652" </w:instrText>
          </w:r>
          <w:r>
            <w:fldChar w:fldCharType="separate"/>
          </w:r>
          <w:r>
            <w:rPr>
              <w:rStyle w:val="18"/>
              <w:rFonts w:hint="eastAsia"/>
            </w:rPr>
            <w:t>7.1.3 进度管理方法措施</w:t>
          </w:r>
          <w:r>
            <w:rPr>
              <w:rFonts w:hint="eastAsia"/>
            </w:rPr>
            <w:tab/>
          </w:r>
          <w:r>
            <w:rPr>
              <w:rFonts w:hint="eastAsia"/>
            </w:rPr>
            <w:fldChar w:fldCharType="begin"/>
          </w:r>
          <w:r>
            <w:rPr>
              <w:rFonts w:hint="eastAsia"/>
            </w:rPr>
            <w:instrText xml:space="preserve"> </w:instrText>
          </w:r>
          <w:r>
            <w:instrText xml:space="preserve">PAGEREF _Toc186452652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371DB5A4">
          <w:pPr>
            <w:pStyle w:val="13"/>
            <w:tabs>
              <w:tab w:val="right" w:leader="dot" w:pos="9064"/>
            </w:tabs>
            <w:ind w:left="480" w:firstLine="480"/>
            <w:rPr>
              <w:sz w:val="21"/>
              <w14:ligatures w14:val="standardContextual"/>
            </w:rPr>
          </w:pPr>
          <w:r>
            <w:fldChar w:fldCharType="begin"/>
          </w:r>
          <w:r>
            <w:instrText xml:space="preserve"> HYPERLINK \l "_Toc186452653" </w:instrText>
          </w:r>
          <w:r>
            <w:fldChar w:fldCharType="separate"/>
          </w:r>
          <w:r>
            <w:rPr>
              <w:rStyle w:val="18"/>
              <w:rFonts w:hint="eastAsia" w:ascii="黑体" w:hAnsi="Times New Roman"/>
            </w:rPr>
            <w:t>7.2</w:t>
          </w:r>
          <w:r>
            <w:rPr>
              <w:rStyle w:val="18"/>
              <w:rFonts w:hint="eastAsia" w:ascii="Times New Roman" w:hAnsi="Times New Roman"/>
            </w:rPr>
            <w:t xml:space="preserve"> 进度计划保障措施</w:t>
          </w:r>
          <w:r>
            <w:rPr>
              <w:rFonts w:hint="eastAsia"/>
            </w:rPr>
            <w:tab/>
          </w:r>
          <w:r>
            <w:rPr>
              <w:rFonts w:hint="eastAsia"/>
            </w:rPr>
            <w:fldChar w:fldCharType="begin"/>
          </w:r>
          <w:r>
            <w:rPr>
              <w:rFonts w:hint="eastAsia"/>
            </w:rPr>
            <w:instrText xml:space="preserve"> </w:instrText>
          </w:r>
          <w:r>
            <w:instrText xml:space="preserve">PAGEREF _Toc186452653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09CE1C96">
          <w:pPr>
            <w:pStyle w:val="13"/>
            <w:tabs>
              <w:tab w:val="right" w:leader="dot" w:pos="9064"/>
            </w:tabs>
            <w:ind w:left="480" w:firstLine="480"/>
            <w:rPr>
              <w:sz w:val="21"/>
              <w14:ligatures w14:val="standardContextual"/>
            </w:rPr>
          </w:pPr>
          <w:r>
            <w:fldChar w:fldCharType="begin"/>
          </w:r>
          <w:r>
            <w:instrText xml:space="preserve"> HYPERLINK \l "_Toc186452654" </w:instrText>
          </w:r>
          <w:r>
            <w:fldChar w:fldCharType="separate"/>
          </w:r>
          <w:r>
            <w:rPr>
              <w:rStyle w:val="18"/>
              <w:rFonts w:hint="eastAsia" w:ascii="黑体" w:hAnsi="Times New Roman"/>
            </w:rPr>
            <w:t>7.3</w:t>
          </w:r>
          <w:r>
            <w:rPr>
              <w:rStyle w:val="18"/>
              <w:rFonts w:hint="eastAsia" w:ascii="Times New Roman" w:hAnsi="Times New Roman"/>
            </w:rPr>
            <w:t xml:space="preserve"> 文明施工方案</w:t>
          </w:r>
          <w:r>
            <w:rPr>
              <w:rFonts w:hint="eastAsia"/>
            </w:rPr>
            <w:tab/>
          </w:r>
          <w:r>
            <w:rPr>
              <w:rFonts w:hint="eastAsia"/>
            </w:rPr>
            <w:fldChar w:fldCharType="begin"/>
          </w:r>
          <w:r>
            <w:rPr>
              <w:rFonts w:hint="eastAsia"/>
            </w:rPr>
            <w:instrText xml:space="preserve"> </w:instrText>
          </w:r>
          <w:r>
            <w:instrText xml:space="preserve">PAGEREF _Toc186452654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432B6F53">
          <w:pPr>
            <w:pStyle w:val="9"/>
            <w:tabs>
              <w:tab w:val="right" w:leader="dot" w:pos="9064"/>
            </w:tabs>
            <w:ind w:left="960" w:firstLine="480"/>
            <w:rPr>
              <w:sz w:val="21"/>
              <w14:ligatures w14:val="standardContextual"/>
            </w:rPr>
          </w:pPr>
          <w:r>
            <w:fldChar w:fldCharType="begin"/>
          </w:r>
          <w:r>
            <w:instrText xml:space="preserve"> HYPERLINK \l "_Toc186452655" </w:instrText>
          </w:r>
          <w:r>
            <w:fldChar w:fldCharType="separate"/>
          </w:r>
          <w:r>
            <w:rPr>
              <w:rStyle w:val="18"/>
              <w:rFonts w:hint="eastAsia"/>
            </w:rPr>
            <w:t>7.3.1 文明施工考核办法</w:t>
          </w:r>
          <w:r>
            <w:rPr>
              <w:rFonts w:hint="eastAsia"/>
            </w:rPr>
            <w:tab/>
          </w:r>
          <w:r>
            <w:rPr>
              <w:rFonts w:hint="eastAsia"/>
            </w:rPr>
            <w:fldChar w:fldCharType="begin"/>
          </w:r>
          <w:r>
            <w:rPr>
              <w:rFonts w:hint="eastAsia"/>
            </w:rPr>
            <w:instrText xml:space="preserve"> </w:instrText>
          </w:r>
          <w:r>
            <w:instrText xml:space="preserve">PAGEREF _Toc186452655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745A8BE8">
          <w:pPr>
            <w:pStyle w:val="9"/>
            <w:tabs>
              <w:tab w:val="right" w:leader="dot" w:pos="9064"/>
            </w:tabs>
            <w:ind w:left="960" w:firstLine="480"/>
            <w:rPr>
              <w:sz w:val="21"/>
              <w14:ligatures w14:val="standardContextual"/>
            </w:rPr>
          </w:pPr>
          <w:r>
            <w:fldChar w:fldCharType="begin"/>
          </w:r>
          <w:r>
            <w:instrText xml:space="preserve"> HYPERLINK \l "_Toc186452656" </w:instrText>
          </w:r>
          <w:r>
            <w:fldChar w:fldCharType="separate"/>
          </w:r>
          <w:r>
            <w:rPr>
              <w:rStyle w:val="18"/>
              <w:rFonts w:hint="eastAsia"/>
            </w:rPr>
            <w:t>7.3.2 文明施工保障措施</w:t>
          </w:r>
          <w:r>
            <w:rPr>
              <w:rFonts w:hint="eastAsia"/>
            </w:rPr>
            <w:tab/>
          </w:r>
          <w:r>
            <w:rPr>
              <w:rFonts w:hint="eastAsia"/>
            </w:rPr>
            <w:fldChar w:fldCharType="begin"/>
          </w:r>
          <w:r>
            <w:rPr>
              <w:rFonts w:hint="eastAsia"/>
            </w:rPr>
            <w:instrText xml:space="preserve"> </w:instrText>
          </w:r>
          <w:r>
            <w:instrText xml:space="preserve">PAGEREF _Toc186452656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50B62B6E">
          <w:pPr>
            <w:pStyle w:val="13"/>
            <w:tabs>
              <w:tab w:val="right" w:leader="dot" w:pos="9064"/>
            </w:tabs>
            <w:ind w:left="480" w:firstLine="480"/>
            <w:rPr>
              <w:sz w:val="21"/>
              <w14:ligatures w14:val="standardContextual"/>
            </w:rPr>
          </w:pPr>
          <w:r>
            <w:fldChar w:fldCharType="begin"/>
          </w:r>
          <w:r>
            <w:instrText xml:space="preserve"> HYPERLINK \l "_Toc186452657" </w:instrText>
          </w:r>
          <w:r>
            <w:fldChar w:fldCharType="separate"/>
          </w:r>
          <w:r>
            <w:rPr>
              <w:rStyle w:val="18"/>
              <w:rFonts w:hint="eastAsia" w:ascii="黑体" w:hAnsi="Times New Roman"/>
            </w:rPr>
            <w:t>7.4</w:t>
          </w:r>
          <w:r>
            <w:rPr>
              <w:rStyle w:val="18"/>
              <w:rFonts w:hint="eastAsia" w:ascii="Times New Roman" w:hAnsi="Times New Roman"/>
            </w:rPr>
            <w:t xml:space="preserve"> 安全施工保障体系</w:t>
          </w:r>
          <w:r>
            <w:rPr>
              <w:rFonts w:hint="eastAsia"/>
            </w:rPr>
            <w:tab/>
          </w:r>
          <w:r>
            <w:rPr>
              <w:rFonts w:hint="eastAsia"/>
            </w:rPr>
            <w:fldChar w:fldCharType="begin"/>
          </w:r>
          <w:r>
            <w:rPr>
              <w:rFonts w:hint="eastAsia"/>
            </w:rPr>
            <w:instrText xml:space="preserve"> </w:instrText>
          </w:r>
          <w:r>
            <w:instrText xml:space="preserve">PAGEREF _Toc186452657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77AD0761">
          <w:pPr>
            <w:pStyle w:val="9"/>
            <w:tabs>
              <w:tab w:val="right" w:leader="dot" w:pos="9064"/>
            </w:tabs>
            <w:ind w:left="960" w:firstLine="480"/>
            <w:rPr>
              <w:sz w:val="21"/>
              <w14:ligatures w14:val="standardContextual"/>
            </w:rPr>
          </w:pPr>
          <w:r>
            <w:fldChar w:fldCharType="begin"/>
          </w:r>
          <w:r>
            <w:instrText xml:space="preserve"> HYPERLINK \l "_Toc186452658" </w:instrText>
          </w:r>
          <w:r>
            <w:fldChar w:fldCharType="separate"/>
          </w:r>
          <w:r>
            <w:rPr>
              <w:rStyle w:val="18"/>
              <w:rFonts w:hint="eastAsia"/>
            </w:rPr>
            <w:t>7.4.1 用电安全保障措施</w:t>
          </w:r>
          <w:r>
            <w:rPr>
              <w:rFonts w:hint="eastAsia"/>
            </w:rPr>
            <w:tab/>
          </w:r>
          <w:r>
            <w:rPr>
              <w:rFonts w:hint="eastAsia"/>
            </w:rPr>
            <w:fldChar w:fldCharType="begin"/>
          </w:r>
          <w:r>
            <w:rPr>
              <w:rFonts w:hint="eastAsia"/>
            </w:rPr>
            <w:instrText xml:space="preserve"> </w:instrText>
          </w:r>
          <w:r>
            <w:instrText xml:space="preserve">PAGEREF _Toc186452658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44010E12">
          <w:pPr>
            <w:pStyle w:val="9"/>
            <w:tabs>
              <w:tab w:val="right" w:leader="dot" w:pos="9064"/>
            </w:tabs>
            <w:ind w:left="960" w:firstLine="480"/>
            <w:rPr>
              <w:sz w:val="21"/>
              <w14:ligatures w14:val="standardContextual"/>
            </w:rPr>
          </w:pPr>
          <w:r>
            <w:fldChar w:fldCharType="begin"/>
          </w:r>
          <w:r>
            <w:instrText xml:space="preserve"> HYPERLINK \l "_Toc186452659" </w:instrText>
          </w:r>
          <w:r>
            <w:fldChar w:fldCharType="separate"/>
          </w:r>
          <w:r>
            <w:rPr>
              <w:rStyle w:val="18"/>
              <w:rFonts w:hint="eastAsia"/>
            </w:rPr>
            <w:t>7.4.2 高空作业安全施工方案</w:t>
          </w:r>
          <w:r>
            <w:rPr>
              <w:rFonts w:hint="eastAsia"/>
            </w:rPr>
            <w:tab/>
          </w:r>
          <w:r>
            <w:rPr>
              <w:rFonts w:hint="eastAsia"/>
            </w:rPr>
            <w:fldChar w:fldCharType="begin"/>
          </w:r>
          <w:r>
            <w:rPr>
              <w:rFonts w:hint="eastAsia"/>
            </w:rPr>
            <w:instrText xml:space="preserve"> </w:instrText>
          </w:r>
          <w:r>
            <w:instrText xml:space="preserve">PAGEREF _Toc186452659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7785AFDD">
          <w:pPr>
            <w:pStyle w:val="13"/>
            <w:tabs>
              <w:tab w:val="right" w:leader="dot" w:pos="9064"/>
            </w:tabs>
            <w:ind w:left="480" w:firstLine="480"/>
            <w:rPr>
              <w:sz w:val="21"/>
              <w14:ligatures w14:val="standardContextual"/>
            </w:rPr>
          </w:pPr>
          <w:r>
            <w:fldChar w:fldCharType="begin"/>
          </w:r>
          <w:r>
            <w:instrText xml:space="preserve"> HYPERLINK \l "_Toc186452660" </w:instrText>
          </w:r>
          <w:r>
            <w:fldChar w:fldCharType="separate"/>
          </w:r>
          <w:r>
            <w:rPr>
              <w:rStyle w:val="18"/>
              <w:rFonts w:hint="eastAsia" w:ascii="黑体" w:hAnsi="Times New Roman"/>
            </w:rPr>
            <w:t>7.5</w:t>
          </w:r>
          <w:r>
            <w:rPr>
              <w:rStyle w:val="18"/>
              <w:rFonts w:hint="eastAsia" w:ascii="Times New Roman" w:hAnsi="Times New Roman"/>
            </w:rPr>
            <w:t xml:space="preserve"> 质量方案</w:t>
          </w:r>
          <w:r>
            <w:rPr>
              <w:rFonts w:hint="eastAsia"/>
            </w:rPr>
            <w:tab/>
          </w:r>
          <w:r>
            <w:rPr>
              <w:rFonts w:hint="eastAsia"/>
            </w:rPr>
            <w:fldChar w:fldCharType="begin"/>
          </w:r>
          <w:r>
            <w:rPr>
              <w:rFonts w:hint="eastAsia"/>
            </w:rPr>
            <w:instrText xml:space="preserve"> </w:instrText>
          </w:r>
          <w:r>
            <w:instrText xml:space="preserve">PAGEREF _Toc186452660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5EB89DA1">
          <w:pPr>
            <w:pStyle w:val="9"/>
            <w:tabs>
              <w:tab w:val="right" w:leader="dot" w:pos="9064"/>
            </w:tabs>
            <w:ind w:left="960" w:firstLine="480"/>
            <w:rPr>
              <w:sz w:val="21"/>
              <w14:ligatures w14:val="standardContextual"/>
            </w:rPr>
          </w:pPr>
          <w:r>
            <w:fldChar w:fldCharType="begin"/>
          </w:r>
          <w:r>
            <w:instrText xml:space="preserve"> HYPERLINK \l "_Toc186452661" </w:instrText>
          </w:r>
          <w:r>
            <w:fldChar w:fldCharType="separate"/>
          </w:r>
          <w:r>
            <w:rPr>
              <w:rStyle w:val="18"/>
              <w:rFonts w:hint="eastAsia"/>
            </w:rPr>
            <w:t>7.5.1 质量控制文件</w:t>
          </w:r>
          <w:r>
            <w:rPr>
              <w:rFonts w:hint="eastAsia"/>
            </w:rPr>
            <w:tab/>
          </w:r>
          <w:r>
            <w:rPr>
              <w:rFonts w:hint="eastAsia"/>
            </w:rPr>
            <w:fldChar w:fldCharType="begin"/>
          </w:r>
          <w:r>
            <w:rPr>
              <w:rFonts w:hint="eastAsia"/>
            </w:rPr>
            <w:instrText xml:space="preserve"> </w:instrText>
          </w:r>
          <w:r>
            <w:instrText xml:space="preserve">PAGEREF _Toc186452661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6B841C80">
          <w:pPr>
            <w:pStyle w:val="9"/>
            <w:tabs>
              <w:tab w:val="right" w:leader="dot" w:pos="9064"/>
            </w:tabs>
            <w:ind w:left="960" w:firstLine="480"/>
            <w:rPr>
              <w:sz w:val="21"/>
              <w14:ligatures w14:val="standardContextual"/>
            </w:rPr>
          </w:pPr>
          <w:r>
            <w:fldChar w:fldCharType="begin"/>
          </w:r>
          <w:r>
            <w:instrText xml:space="preserve"> HYPERLINK \l "_Toc186452662" </w:instrText>
          </w:r>
          <w:r>
            <w:fldChar w:fldCharType="separate"/>
          </w:r>
          <w:r>
            <w:rPr>
              <w:rStyle w:val="18"/>
              <w:rFonts w:hint="eastAsia"/>
            </w:rPr>
            <w:t>7.5.2 管理组织</w:t>
          </w:r>
          <w:r>
            <w:rPr>
              <w:rFonts w:hint="eastAsia"/>
            </w:rPr>
            <w:tab/>
          </w:r>
          <w:r>
            <w:rPr>
              <w:rFonts w:hint="eastAsia"/>
            </w:rPr>
            <w:fldChar w:fldCharType="begin"/>
          </w:r>
          <w:r>
            <w:rPr>
              <w:rFonts w:hint="eastAsia"/>
            </w:rPr>
            <w:instrText xml:space="preserve"> </w:instrText>
          </w:r>
          <w:r>
            <w:instrText xml:space="preserve">PAGEREF _Toc186452662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464653BC">
          <w:pPr>
            <w:pStyle w:val="13"/>
            <w:tabs>
              <w:tab w:val="right" w:leader="dot" w:pos="9064"/>
            </w:tabs>
            <w:ind w:left="480" w:firstLine="480"/>
            <w:rPr>
              <w:sz w:val="21"/>
              <w14:ligatures w14:val="standardContextual"/>
            </w:rPr>
          </w:pPr>
          <w:r>
            <w:fldChar w:fldCharType="begin"/>
          </w:r>
          <w:r>
            <w:instrText xml:space="preserve"> HYPERLINK \l "_Toc186452663" </w:instrText>
          </w:r>
          <w:r>
            <w:fldChar w:fldCharType="separate"/>
          </w:r>
          <w:r>
            <w:rPr>
              <w:rStyle w:val="18"/>
              <w:rFonts w:hint="eastAsia" w:ascii="黑体" w:hAnsi="Times New Roman"/>
            </w:rPr>
            <w:t>7.6</w:t>
          </w:r>
          <w:r>
            <w:rPr>
              <w:rStyle w:val="18"/>
              <w:rFonts w:hint="eastAsia" w:ascii="Times New Roman" w:hAnsi="Times New Roman"/>
            </w:rPr>
            <w:t xml:space="preserve"> 人员保障方案</w:t>
          </w:r>
          <w:r>
            <w:rPr>
              <w:rFonts w:hint="eastAsia"/>
            </w:rPr>
            <w:tab/>
          </w:r>
          <w:r>
            <w:rPr>
              <w:rFonts w:hint="eastAsia"/>
            </w:rPr>
            <w:fldChar w:fldCharType="begin"/>
          </w:r>
          <w:r>
            <w:rPr>
              <w:rFonts w:hint="eastAsia"/>
            </w:rPr>
            <w:instrText xml:space="preserve"> </w:instrText>
          </w:r>
          <w:r>
            <w:instrText xml:space="preserve">PAGEREF _Toc186452663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1307293E">
          <w:pPr>
            <w:pStyle w:val="12"/>
            <w:tabs>
              <w:tab w:val="right" w:leader="dot" w:pos="9064"/>
            </w:tabs>
            <w:ind w:firstLine="480"/>
            <w:rPr>
              <w:sz w:val="21"/>
              <w14:ligatures w14:val="standardContextual"/>
            </w:rPr>
          </w:pPr>
          <w:r>
            <w:fldChar w:fldCharType="begin"/>
          </w:r>
          <w:r>
            <w:instrText xml:space="preserve"> HYPERLINK \l "_Toc186452664" </w:instrText>
          </w:r>
          <w:r>
            <w:fldChar w:fldCharType="separate"/>
          </w:r>
          <w:r>
            <w:rPr>
              <w:rStyle w:val="18"/>
              <w:rFonts w:hint="eastAsia" w:hAnsi="Times New Roman"/>
            </w:rPr>
            <w:t>8</w:t>
          </w:r>
          <w:r>
            <w:rPr>
              <w:rStyle w:val="18"/>
              <w:rFonts w:hint="eastAsia" w:ascii="Times New Roman" w:hAnsi="Times New Roman"/>
            </w:rPr>
            <w:t xml:space="preserve"> 系统集成及验收调试方案</w:t>
          </w:r>
          <w:r>
            <w:rPr>
              <w:rFonts w:hint="eastAsia"/>
            </w:rPr>
            <w:tab/>
          </w:r>
          <w:r>
            <w:rPr>
              <w:rFonts w:hint="eastAsia"/>
            </w:rPr>
            <w:fldChar w:fldCharType="begin"/>
          </w:r>
          <w:r>
            <w:rPr>
              <w:rFonts w:hint="eastAsia"/>
            </w:rPr>
            <w:instrText xml:space="preserve"> </w:instrText>
          </w:r>
          <w:r>
            <w:instrText xml:space="preserve">PAGEREF _Toc186452664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14C5F01D">
          <w:pPr>
            <w:pStyle w:val="13"/>
            <w:tabs>
              <w:tab w:val="right" w:leader="dot" w:pos="9064"/>
            </w:tabs>
            <w:ind w:left="480" w:firstLine="480"/>
            <w:rPr>
              <w:sz w:val="21"/>
              <w14:ligatures w14:val="standardContextual"/>
            </w:rPr>
          </w:pPr>
          <w:r>
            <w:fldChar w:fldCharType="begin"/>
          </w:r>
          <w:r>
            <w:instrText xml:space="preserve"> HYPERLINK \l "_Toc186452665" </w:instrText>
          </w:r>
          <w:r>
            <w:fldChar w:fldCharType="separate"/>
          </w:r>
          <w:r>
            <w:rPr>
              <w:rStyle w:val="18"/>
              <w:rFonts w:hint="eastAsia" w:ascii="黑体"/>
            </w:rPr>
            <w:t>8.1</w:t>
          </w:r>
          <w:r>
            <w:rPr>
              <w:rStyle w:val="18"/>
              <w:rFonts w:hint="eastAsia"/>
            </w:rPr>
            <w:t xml:space="preserve"> 验收范围</w:t>
          </w:r>
          <w:r>
            <w:rPr>
              <w:rFonts w:hint="eastAsia"/>
            </w:rPr>
            <w:tab/>
          </w:r>
          <w:r>
            <w:rPr>
              <w:rFonts w:hint="eastAsia"/>
            </w:rPr>
            <w:fldChar w:fldCharType="begin"/>
          </w:r>
          <w:r>
            <w:rPr>
              <w:rFonts w:hint="eastAsia"/>
            </w:rPr>
            <w:instrText xml:space="preserve"> </w:instrText>
          </w:r>
          <w:r>
            <w:instrText xml:space="preserve">PAGEREF _Toc186452665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0899520B">
          <w:pPr>
            <w:pStyle w:val="13"/>
            <w:tabs>
              <w:tab w:val="right" w:leader="dot" w:pos="9064"/>
            </w:tabs>
            <w:ind w:left="480" w:firstLine="480"/>
            <w:rPr>
              <w:sz w:val="21"/>
              <w14:ligatures w14:val="standardContextual"/>
            </w:rPr>
          </w:pPr>
          <w:r>
            <w:fldChar w:fldCharType="begin"/>
          </w:r>
          <w:r>
            <w:instrText xml:space="preserve"> HYPERLINK \l "_Toc186452666" </w:instrText>
          </w:r>
          <w:r>
            <w:fldChar w:fldCharType="separate"/>
          </w:r>
          <w:r>
            <w:rPr>
              <w:rStyle w:val="18"/>
              <w:rFonts w:hint="eastAsia" w:ascii="黑体"/>
            </w:rPr>
            <w:t>8.2</w:t>
          </w:r>
          <w:r>
            <w:rPr>
              <w:rStyle w:val="18"/>
              <w:rFonts w:hint="eastAsia"/>
            </w:rPr>
            <w:t xml:space="preserve"> 检验及验收规则</w:t>
          </w:r>
          <w:r>
            <w:rPr>
              <w:rFonts w:hint="eastAsia"/>
            </w:rPr>
            <w:tab/>
          </w:r>
          <w:r>
            <w:rPr>
              <w:rFonts w:hint="eastAsia"/>
            </w:rPr>
            <w:fldChar w:fldCharType="begin"/>
          </w:r>
          <w:r>
            <w:rPr>
              <w:rFonts w:hint="eastAsia"/>
            </w:rPr>
            <w:instrText xml:space="preserve"> </w:instrText>
          </w:r>
          <w:r>
            <w:instrText xml:space="preserve">PAGEREF _Toc186452666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7CED2ABD">
          <w:pPr>
            <w:pStyle w:val="13"/>
            <w:tabs>
              <w:tab w:val="right" w:leader="dot" w:pos="9064"/>
            </w:tabs>
            <w:ind w:left="480" w:firstLine="480"/>
            <w:rPr>
              <w:sz w:val="21"/>
              <w14:ligatures w14:val="standardContextual"/>
            </w:rPr>
          </w:pPr>
          <w:r>
            <w:fldChar w:fldCharType="begin"/>
          </w:r>
          <w:r>
            <w:instrText xml:space="preserve"> HYPERLINK \l "_Toc186452667" </w:instrText>
          </w:r>
          <w:r>
            <w:fldChar w:fldCharType="separate"/>
          </w:r>
          <w:r>
            <w:rPr>
              <w:rStyle w:val="18"/>
              <w:rFonts w:hint="eastAsia" w:ascii="黑体"/>
            </w:rPr>
            <w:t>8.3</w:t>
          </w:r>
          <w:r>
            <w:rPr>
              <w:rStyle w:val="18"/>
              <w:rFonts w:hint="eastAsia"/>
            </w:rPr>
            <w:t xml:space="preserve"> 调试方案及措施</w:t>
          </w:r>
          <w:r>
            <w:rPr>
              <w:rFonts w:hint="eastAsia"/>
            </w:rPr>
            <w:tab/>
          </w:r>
          <w:r>
            <w:rPr>
              <w:rFonts w:hint="eastAsia"/>
            </w:rPr>
            <w:fldChar w:fldCharType="begin"/>
          </w:r>
          <w:r>
            <w:rPr>
              <w:rFonts w:hint="eastAsia"/>
            </w:rPr>
            <w:instrText xml:space="preserve"> </w:instrText>
          </w:r>
          <w:r>
            <w:instrText xml:space="preserve">PAGEREF _Toc186452667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14:paraId="318D7E16">
          <w:pPr>
            <w:pStyle w:val="13"/>
            <w:tabs>
              <w:tab w:val="right" w:leader="dot" w:pos="9064"/>
            </w:tabs>
            <w:ind w:left="480" w:firstLine="480"/>
            <w:rPr>
              <w:sz w:val="21"/>
              <w14:ligatures w14:val="standardContextual"/>
            </w:rPr>
          </w:pPr>
          <w:r>
            <w:fldChar w:fldCharType="begin"/>
          </w:r>
          <w:r>
            <w:instrText xml:space="preserve"> HYPERLINK \l "_Toc186452668" </w:instrText>
          </w:r>
          <w:r>
            <w:fldChar w:fldCharType="separate"/>
          </w:r>
          <w:r>
            <w:rPr>
              <w:rStyle w:val="18"/>
              <w:rFonts w:hint="eastAsia" w:ascii="黑体"/>
            </w:rPr>
            <w:t>8.4</w:t>
          </w:r>
          <w:r>
            <w:rPr>
              <w:rStyle w:val="18"/>
              <w:rFonts w:hint="eastAsia"/>
            </w:rPr>
            <w:t xml:space="preserve"> 系统运行稳定性承诺</w:t>
          </w:r>
          <w:r>
            <w:rPr>
              <w:rFonts w:hint="eastAsia"/>
            </w:rPr>
            <w:tab/>
          </w:r>
          <w:r>
            <w:rPr>
              <w:rFonts w:hint="eastAsia"/>
            </w:rPr>
            <w:fldChar w:fldCharType="begin"/>
          </w:r>
          <w:r>
            <w:rPr>
              <w:rFonts w:hint="eastAsia"/>
            </w:rPr>
            <w:instrText xml:space="preserve"> </w:instrText>
          </w:r>
          <w:r>
            <w:instrText xml:space="preserve">PAGEREF _Toc186452668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14:paraId="0DB77CCF">
          <w:pPr>
            <w:ind w:firstLine="480"/>
          </w:pPr>
          <w:r>
            <w:rPr>
              <w:bCs/>
              <w:lang w:val="zh-CN"/>
            </w:rPr>
            <w:fldChar w:fldCharType="end"/>
          </w:r>
        </w:p>
      </w:sdtContent>
    </w:sdt>
    <w:p w14:paraId="533BBB88">
      <w:pPr>
        <w:ind w:firstLine="482"/>
        <w:rPr>
          <w:rFonts w:ascii="Times New Roman" w:hAnsi="Times New Roman" w:cs="Times New Roman"/>
          <w:b/>
        </w:rPr>
      </w:pPr>
      <w:bookmarkStart w:id="3" w:name="_Toc186389587"/>
    </w:p>
    <w:p w14:paraId="4A5D75F4">
      <w:pPr>
        <w:ind w:firstLine="482"/>
        <w:rPr>
          <w:rFonts w:ascii="Times New Roman" w:hAnsi="Times New Roman" w:cs="Times New Roman"/>
          <w:b/>
        </w:rPr>
      </w:pPr>
    </w:p>
    <w:p w14:paraId="054FFCF0">
      <w:pPr>
        <w:ind w:firstLine="482"/>
        <w:rPr>
          <w:rFonts w:ascii="Times New Roman" w:hAnsi="Times New Roman" w:cs="Times New Roman"/>
          <w:b/>
        </w:rPr>
      </w:pPr>
    </w:p>
    <w:p w14:paraId="0023B69F">
      <w:pPr>
        <w:ind w:firstLine="482"/>
        <w:rPr>
          <w:rFonts w:ascii="Times New Roman" w:hAnsi="Times New Roman" w:cs="Times New Roman"/>
          <w:b/>
        </w:rPr>
      </w:pPr>
    </w:p>
    <w:p w14:paraId="3596424C">
      <w:pPr>
        <w:ind w:firstLine="480"/>
        <w:rPr>
          <w:rFonts w:ascii="Times New Roman" w:hAnsi="Times New Roman" w:cs="Times New Roman"/>
        </w:rPr>
      </w:pPr>
      <w:bookmarkStart w:id="4" w:name="_Toc11829"/>
      <w:r>
        <w:rPr>
          <w:rFonts w:hint="eastAsia" w:ascii="Times New Roman" w:hAnsi="Times New Roman" w:cs="Times New Roman"/>
        </w:rPr>
        <w:t>由于龙利得文化科技有限公司文化科创园项目变更，所有技术协议以新版为准，旧版作废。</w:t>
      </w:r>
      <w:bookmarkEnd w:id="0"/>
      <w:bookmarkEnd w:id="1"/>
      <w:bookmarkEnd w:id="2"/>
      <w:bookmarkEnd w:id="3"/>
      <w:bookmarkEnd w:id="4"/>
    </w:p>
    <w:p w14:paraId="607A3B0B">
      <w:pPr>
        <w:pStyle w:val="2"/>
        <w:rPr>
          <w:rFonts w:hint="eastAsia"/>
        </w:rPr>
      </w:pPr>
      <w:bookmarkStart w:id="5" w:name="_Toc186452586"/>
      <w:bookmarkStart w:id="6" w:name="_Toc186389137"/>
      <w:bookmarkStart w:id="7" w:name="_Toc23635"/>
      <w:r>
        <w:t>方案设计说明</w:t>
      </w:r>
      <w:bookmarkEnd w:id="5"/>
      <w:bookmarkEnd w:id="6"/>
      <w:bookmarkEnd w:id="7"/>
    </w:p>
    <w:p w14:paraId="4C38023E">
      <w:pPr>
        <w:pStyle w:val="3"/>
      </w:pPr>
      <w:bookmarkStart w:id="8" w:name="_Toc186389138"/>
      <w:bookmarkStart w:id="9" w:name="_Toc9003"/>
      <w:bookmarkStart w:id="10" w:name="_Toc186452587"/>
      <w:r>
        <w:rPr>
          <w:rFonts w:hint="eastAsia"/>
        </w:rPr>
        <w:t>设计基本参数</w:t>
      </w:r>
      <w:bookmarkEnd w:id="8"/>
      <w:bookmarkEnd w:id="9"/>
      <w:bookmarkEnd w:id="10"/>
    </w:p>
    <w:p w14:paraId="1BBAD7EC">
      <w:pPr>
        <w:ind w:firstLine="480"/>
        <w:rPr>
          <w:rFonts w:ascii="Times New Roman" w:hAnsi="Times New Roman" w:cs="Times New Roman"/>
        </w:rPr>
      </w:pPr>
      <w:r>
        <w:rPr>
          <w:rFonts w:hint="eastAsia" w:ascii="Times New Roman" w:hAnsi="Times New Roman" w:cs="Times New Roman"/>
        </w:rPr>
        <w:t>以下为方案设计及之后详细设计的重要依据。</w:t>
      </w:r>
    </w:p>
    <w:p w14:paraId="69FA3294">
      <w:pPr>
        <w:ind w:firstLine="480"/>
        <w:rPr>
          <w:rFonts w:ascii="Times New Roman" w:hAnsi="Times New Roman" w:cs="Times New Roman"/>
        </w:rPr>
      </w:pPr>
      <w:r>
        <w:rPr>
          <w:rFonts w:hint="eastAsia" w:ascii="Times New Roman" w:hAnsi="Times New Roman" w:cs="Times New Roman"/>
        </w:rPr>
        <w:t>如买卖双方有任何异议，应在此技术规格书签订之前采取书面形式提出，并在双方协商后做出修改。</w:t>
      </w:r>
    </w:p>
    <w:p w14:paraId="3E733A4C">
      <w:pPr>
        <w:pStyle w:val="3"/>
      </w:pPr>
      <w:bookmarkStart w:id="11" w:name="_Toc26061"/>
      <w:bookmarkStart w:id="12" w:name="_Toc186452588"/>
      <w:bookmarkStart w:id="13" w:name="_Toc186389139"/>
      <w:r>
        <w:t>建设内容</w:t>
      </w:r>
      <w:bookmarkEnd w:id="11"/>
      <w:bookmarkEnd w:id="12"/>
      <w:bookmarkEnd w:id="13"/>
    </w:p>
    <w:p w14:paraId="659049FA">
      <w:pPr>
        <w:ind w:firstLine="480"/>
        <w:rPr>
          <w:rFonts w:ascii="Times New Roman" w:hAnsi="Times New Roman" w:cs="Times New Roman"/>
        </w:rPr>
      </w:pPr>
      <w:r>
        <w:rPr>
          <w:rFonts w:ascii="Times New Roman" w:hAnsi="Times New Roman" w:cs="Times New Roman"/>
        </w:rPr>
        <w:t>业务层：提供了自动化仓库的核心物资管理业务WMS系统。</w:t>
      </w:r>
    </w:p>
    <w:p w14:paraId="6B72E9E3">
      <w:pPr>
        <w:ind w:firstLine="480"/>
        <w:rPr>
          <w:rFonts w:ascii="Times New Roman" w:hAnsi="Times New Roman" w:cs="Times New Roman"/>
        </w:rPr>
      </w:pPr>
      <w:r>
        <w:rPr>
          <w:rFonts w:ascii="Times New Roman" w:hAnsi="Times New Roman" w:cs="Times New Roman"/>
        </w:rPr>
        <w:t>调度层：提供了自动化仓库库内作业调度的核心业务系统，主要包括</w:t>
      </w:r>
      <w:r>
        <w:rPr>
          <w:rFonts w:hint="eastAsia" w:ascii="Times New Roman" w:hAnsi="Times New Roman" w:cs="Times New Roman"/>
        </w:rPr>
        <w:t>立库</w:t>
      </w:r>
      <w:r>
        <w:rPr>
          <w:rFonts w:ascii="Times New Roman" w:hAnsi="Times New Roman" w:cs="Times New Roman"/>
        </w:rPr>
        <w:t>存储设备调度系统、</w:t>
      </w:r>
      <w:r>
        <w:rPr>
          <w:rFonts w:hint="eastAsia" w:ascii="Times New Roman" w:hAnsi="Times New Roman" w:cs="Times New Roman"/>
        </w:rPr>
        <w:t>库前输送系统</w:t>
      </w:r>
      <w:r>
        <w:rPr>
          <w:rFonts w:ascii="Times New Roman" w:hAnsi="Times New Roman" w:cs="Times New Roman"/>
        </w:rPr>
        <w:t>调度系统</w:t>
      </w:r>
      <w:r>
        <w:rPr>
          <w:rFonts w:hint="eastAsia" w:ascii="Times New Roman" w:hAnsi="Times New Roman" w:cs="Times New Roman"/>
        </w:rPr>
        <w:t>等</w:t>
      </w:r>
      <w:r>
        <w:rPr>
          <w:rFonts w:ascii="Times New Roman" w:hAnsi="Times New Roman" w:cs="Times New Roman"/>
        </w:rPr>
        <w:t>。</w:t>
      </w:r>
    </w:p>
    <w:p w14:paraId="3283A326">
      <w:pPr>
        <w:ind w:firstLine="480"/>
        <w:rPr>
          <w:rFonts w:ascii="Times New Roman" w:hAnsi="Times New Roman" w:cs="Times New Roman"/>
        </w:rPr>
      </w:pPr>
      <w:r>
        <w:rPr>
          <w:rFonts w:ascii="Times New Roman" w:hAnsi="Times New Roman" w:cs="Times New Roman"/>
        </w:rPr>
        <w:t>执行层：提供自动化仓库作业、储存设备执行控制体系。库内作业设备包括：巷道堆垛机、</w:t>
      </w:r>
      <w:r>
        <w:rPr>
          <w:rFonts w:hint="eastAsia" w:ascii="Times New Roman" w:hAnsi="Times New Roman" w:cs="Times New Roman"/>
        </w:rPr>
        <w:t>输送机</w:t>
      </w:r>
      <w:r>
        <w:rPr>
          <w:rFonts w:ascii="Times New Roman" w:hAnsi="Times New Roman" w:cs="Times New Roman"/>
        </w:rPr>
        <w:t>等；库房存储设备主要包括：货架。</w:t>
      </w:r>
    </w:p>
    <w:p w14:paraId="7F16C20A">
      <w:pPr>
        <w:ind w:firstLine="480"/>
        <w:rPr>
          <w:rFonts w:ascii="Times New Roman" w:hAnsi="Times New Roman" w:cs="Times New Roman"/>
        </w:rPr>
      </w:pPr>
      <w:r>
        <w:rPr>
          <w:rFonts w:ascii="Times New Roman" w:hAnsi="Times New Roman" w:cs="Times New Roman"/>
        </w:rPr>
        <w:t>本项目建设范围主要包含以下内容:</w:t>
      </w:r>
    </w:p>
    <w:p w14:paraId="271F06A6">
      <w:pPr>
        <w:ind w:firstLine="480"/>
        <w:rPr>
          <w:rFonts w:ascii="Times New Roman" w:hAnsi="Times New Roman" w:cs="Times New Roman"/>
        </w:rPr>
      </w:pPr>
      <w:r>
        <w:rPr>
          <w:rFonts w:ascii="Times New Roman" w:hAnsi="Times New Roman" w:cs="Times New Roman"/>
        </w:rPr>
        <w:t>自动立体库及其配套输送系统</w:t>
      </w:r>
      <w:r>
        <w:rPr>
          <w:rFonts w:hint="eastAsia" w:ascii="Times New Roman" w:hAnsi="Times New Roman" w:cs="Times New Roman"/>
        </w:rPr>
        <w:t>的</w:t>
      </w:r>
      <w:r>
        <w:rPr>
          <w:rFonts w:ascii="Times New Roman" w:hAnsi="Times New Roman" w:cs="Times New Roman"/>
        </w:rPr>
        <w:t>建设；</w:t>
      </w:r>
    </w:p>
    <w:p w14:paraId="6C4EE272">
      <w:pPr>
        <w:ind w:firstLine="480"/>
        <w:rPr>
          <w:rFonts w:ascii="Times New Roman" w:hAnsi="Times New Roman" w:cs="Times New Roman"/>
        </w:rPr>
      </w:pPr>
      <w:r>
        <w:rPr>
          <w:rFonts w:hint="eastAsia" w:ascii="Times New Roman" w:hAnsi="Times New Roman" w:cs="Times New Roman"/>
        </w:rPr>
        <w:t>指定点位的强弱电及桥架敷设</w:t>
      </w:r>
      <w:r>
        <w:rPr>
          <w:rFonts w:ascii="Times New Roman" w:hAnsi="Times New Roman" w:cs="Times New Roman"/>
        </w:rPr>
        <w:t>；</w:t>
      </w:r>
    </w:p>
    <w:p w14:paraId="29522EF2">
      <w:pPr>
        <w:ind w:firstLine="480"/>
        <w:rPr>
          <w:rFonts w:ascii="Times New Roman" w:hAnsi="Times New Roman" w:cs="Times New Roman"/>
        </w:rPr>
      </w:pPr>
      <w:r>
        <w:rPr>
          <w:rFonts w:ascii="Times New Roman" w:hAnsi="Times New Roman" w:cs="Times New Roman"/>
        </w:rPr>
        <w:t>与现有信息系统、控制系统实现对接的计算机信息系统及电气控制系统的WMS、WCS系统。</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08"/>
        <w:gridCol w:w="4253"/>
        <w:gridCol w:w="860"/>
        <w:gridCol w:w="920"/>
      </w:tblGrid>
      <w:tr w14:paraId="5DB1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55" w:type="dxa"/>
            <w:shd w:val="clear" w:color="auto" w:fill="auto"/>
            <w:vAlign w:val="center"/>
          </w:tcPr>
          <w:p w14:paraId="50DFB362">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阶段</w:t>
            </w:r>
          </w:p>
        </w:tc>
        <w:tc>
          <w:tcPr>
            <w:tcW w:w="708" w:type="dxa"/>
            <w:shd w:val="clear" w:color="auto" w:fill="auto"/>
            <w:vAlign w:val="center"/>
          </w:tcPr>
          <w:p w14:paraId="30F19CA8">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序号</w:t>
            </w:r>
          </w:p>
        </w:tc>
        <w:tc>
          <w:tcPr>
            <w:tcW w:w="4253" w:type="dxa"/>
            <w:shd w:val="clear" w:color="auto" w:fill="auto"/>
            <w:vAlign w:val="center"/>
          </w:tcPr>
          <w:p w14:paraId="40139BA5">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名称或工作内容</w:t>
            </w:r>
          </w:p>
        </w:tc>
        <w:tc>
          <w:tcPr>
            <w:tcW w:w="860" w:type="dxa"/>
            <w:shd w:val="clear" w:color="auto" w:fill="auto"/>
            <w:vAlign w:val="center"/>
          </w:tcPr>
          <w:p w14:paraId="4B46CEC6">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甲方</w:t>
            </w:r>
          </w:p>
        </w:tc>
        <w:tc>
          <w:tcPr>
            <w:tcW w:w="920" w:type="dxa"/>
            <w:shd w:val="clear" w:color="auto" w:fill="auto"/>
            <w:vAlign w:val="center"/>
          </w:tcPr>
          <w:p w14:paraId="767766DB">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乙方</w:t>
            </w:r>
          </w:p>
        </w:tc>
      </w:tr>
      <w:tr w14:paraId="4C68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shd w:val="clear" w:color="auto" w:fill="auto"/>
            <w:vAlign w:val="center"/>
          </w:tcPr>
          <w:p w14:paraId="09FC4385">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设计阶段</w:t>
            </w:r>
          </w:p>
        </w:tc>
        <w:tc>
          <w:tcPr>
            <w:tcW w:w="708" w:type="dxa"/>
            <w:shd w:val="clear" w:color="auto" w:fill="auto"/>
            <w:vAlign w:val="center"/>
          </w:tcPr>
          <w:p w14:paraId="2DB70C33">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1</w:t>
            </w:r>
          </w:p>
        </w:tc>
        <w:tc>
          <w:tcPr>
            <w:tcW w:w="4253" w:type="dxa"/>
            <w:shd w:val="clear" w:color="auto" w:fill="auto"/>
            <w:vAlign w:val="center"/>
          </w:tcPr>
          <w:p w14:paraId="625BD3EC">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总体设计及功能要求</w:t>
            </w:r>
          </w:p>
        </w:tc>
        <w:tc>
          <w:tcPr>
            <w:tcW w:w="860" w:type="dxa"/>
            <w:shd w:val="clear" w:color="auto" w:fill="auto"/>
            <w:vAlign w:val="center"/>
          </w:tcPr>
          <w:p w14:paraId="77DDE4F0">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16A4D416">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47B4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72E7ED93">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469215F7">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2</w:t>
            </w:r>
          </w:p>
        </w:tc>
        <w:tc>
          <w:tcPr>
            <w:tcW w:w="4253" w:type="dxa"/>
            <w:shd w:val="clear" w:color="auto" w:fill="auto"/>
            <w:vAlign w:val="center"/>
          </w:tcPr>
          <w:p w14:paraId="6D617E6B">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方案图、最终单机图提交及技术协议的提交</w:t>
            </w:r>
          </w:p>
        </w:tc>
        <w:tc>
          <w:tcPr>
            <w:tcW w:w="860" w:type="dxa"/>
            <w:shd w:val="clear" w:color="auto" w:fill="auto"/>
            <w:vAlign w:val="center"/>
          </w:tcPr>
          <w:p w14:paraId="503BB8F8">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1E33E3BA">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11EE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64D7B327">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4200D45B">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3</w:t>
            </w:r>
          </w:p>
        </w:tc>
        <w:tc>
          <w:tcPr>
            <w:tcW w:w="4253" w:type="dxa"/>
            <w:shd w:val="clear" w:color="auto" w:fill="auto"/>
            <w:vAlign w:val="center"/>
          </w:tcPr>
          <w:p w14:paraId="34DF8432">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技术材料审核</w:t>
            </w:r>
          </w:p>
        </w:tc>
        <w:tc>
          <w:tcPr>
            <w:tcW w:w="860" w:type="dxa"/>
            <w:shd w:val="clear" w:color="auto" w:fill="auto"/>
            <w:vAlign w:val="center"/>
          </w:tcPr>
          <w:p w14:paraId="7DDF4388">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792EC2A5">
            <w:pPr>
              <w:spacing w:line="240" w:lineRule="auto"/>
              <w:ind w:firstLine="0" w:firstLineChars="0"/>
              <w:jc w:val="center"/>
              <w:rPr>
                <w:rFonts w:hint="eastAsia" w:cs="Times New Roman" w:asciiTheme="minorEastAsia" w:hAnsiTheme="minorEastAsia"/>
                <w:sz w:val="22"/>
                <w:szCs w:val="24"/>
              </w:rPr>
            </w:pPr>
          </w:p>
        </w:tc>
      </w:tr>
      <w:tr w14:paraId="0D6C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7B10F8A6">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551FFB9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4</w:t>
            </w:r>
          </w:p>
        </w:tc>
        <w:tc>
          <w:tcPr>
            <w:tcW w:w="4253" w:type="dxa"/>
            <w:shd w:val="clear" w:color="auto" w:fill="auto"/>
            <w:vAlign w:val="center"/>
          </w:tcPr>
          <w:p w14:paraId="47033F99">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技术材料签字确认</w:t>
            </w:r>
          </w:p>
        </w:tc>
        <w:tc>
          <w:tcPr>
            <w:tcW w:w="860" w:type="dxa"/>
            <w:shd w:val="clear" w:color="auto" w:fill="auto"/>
            <w:vAlign w:val="center"/>
          </w:tcPr>
          <w:p w14:paraId="62AB9A76">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6C517E73">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620C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29313486">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5FB8B346">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5</w:t>
            </w:r>
          </w:p>
        </w:tc>
        <w:tc>
          <w:tcPr>
            <w:tcW w:w="4253" w:type="dxa"/>
            <w:shd w:val="clear" w:color="auto" w:fill="auto"/>
            <w:vAlign w:val="center"/>
          </w:tcPr>
          <w:p w14:paraId="4BC25FEB">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2"/>
                <w:szCs w:val="24"/>
              </w:rPr>
              <w:t>合同设备设计</w:t>
            </w:r>
          </w:p>
        </w:tc>
        <w:tc>
          <w:tcPr>
            <w:tcW w:w="860" w:type="dxa"/>
            <w:shd w:val="clear" w:color="auto" w:fill="auto"/>
            <w:vAlign w:val="center"/>
          </w:tcPr>
          <w:p w14:paraId="7AE68BE4">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79919BA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785E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22E66A18">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7C80F095">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6</w:t>
            </w:r>
          </w:p>
        </w:tc>
        <w:tc>
          <w:tcPr>
            <w:tcW w:w="4253" w:type="dxa"/>
            <w:shd w:val="clear" w:color="auto" w:fill="auto"/>
            <w:vAlign w:val="center"/>
          </w:tcPr>
          <w:p w14:paraId="799A8A79">
            <w:pPr>
              <w:spacing w:line="240" w:lineRule="auto"/>
              <w:ind w:firstLine="0" w:firstLineChars="0"/>
              <w:jc w:val="center"/>
              <w:rPr>
                <w:rFonts w:hint="eastAsia" w:cs="Times New Roman" w:asciiTheme="minorEastAsia" w:hAnsiTheme="minorEastAsia"/>
                <w:sz w:val="22"/>
                <w:szCs w:val="24"/>
              </w:rPr>
            </w:pPr>
            <w:r>
              <w:rPr>
                <w:rFonts w:asciiTheme="minorEastAsia" w:hAnsiTheme="minorEastAsia"/>
                <w:sz w:val="22"/>
                <w:szCs w:val="24"/>
              </w:rPr>
              <w:t>提出基础承载、平整度及尺寸要求</w:t>
            </w:r>
          </w:p>
        </w:tc>
        <w:tc>
          <w:tcPr>
            <w:tcW w:w="860" w:type="dxa"/>
            <w:shd w:val="clear" w:color="auto" w:fill="auto"/>
            <w:vAlign w:val="center"/>
          </w:tcPr>
          <w:p w14:paraId="38BF3806">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1AD4FF98">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0FFF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shd w:val="clear" w:color="auto" w:fill="auto"/>
            <w:vAlign w:val="center"/>
          </w:tcPr>
          <w:p w14:paraId="50F04171">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2"/>
                <w:szCs w:val="24"/>
              </w:rPr>
              <w:t>机械部分</w:t>
            </w:r>
          </w:p>
        </w:tc>
        <w:tc>
          <w:tcPr>
            <w:tcW w:w="708" w:type="dxa"/>
            <w:shd w:val="clear" w:color="auto" w:fill="auto"/>
            <w:vAlign w:val="center"/>
          </w:tcPr>
          <w:p w14:paraId="2C0B79AC">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7</w:t>
            </w:r>
          </w:p>
        </w:tc>
        <w:tc>
          <w:tcPr>
            <w:tcW w:w="4253" w:type="dxa"/>
            <w:shd w:val="clear" w:color="auto" w:fill="auto"/>
            <w:vAlign w:val="center"/>
          </w:tcPr>
          <w:p w14:paraId="4F478B5B">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合同设备制造、运输、装卸</w:t>
            </w:r>
          </w:p>
        </w:tc>
        <w:tc>
          <w:tcPr>
            <w:tcW w:w="860" w:type="dxa"/>
            <w:shd w:val="clear" w:color="auto" w:fill="auto"/>
            <w:vAlign w:val="center"/>
          </w:tcPr>
          <w:p w14:paraId="06BA1407">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2B9F0E96">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275B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5129B862">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4893644A">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1"/>
                <w:szCs w:val="21"/>
              </w:rPr>
              <w:t>8</w:t>
            </w:r>
          </w:p>
        </w:tc>
        <w:tc>
          <w:tcPr>
            <w:tcW w:w="4253" w:type="dxa"/>
            <w:shd w:val="clear" w:color="auto" w:fill="auto"/>
            <w:vAlign w:val="center"/>
          </w:tcPr>
          <w:p w14:paraId="597B38CF">
            <w:pPr>
              <w:spacing w:line="240" w:lineRule="auto"/>
              <w:ind w:firstLine="0" w:firstLineChars="0"/>
              <w:jc w:val="center"/>
              <w:rPr>
                <w:rFonts w:hint="eastAsia" w:cs="Times New Roman" w:asciiTheme="minorEastAsia" w:hAnsiTheme="minorEastAsia"/>
                <w:sz w:val="22"/>
                <w:szCs w:val="24"/>
              </w:rPr>
            </w:pPr>
            <w:r>
              <w:rPr>
                <w:rFonts w:asciiTheme="minorEastAsia" w:hAnsiTheme="minorEastAsia"/>
                <w:sz w:val="22"/>
                <w:szCs w:val="24"/>
              </w:rPr>
              <w:t>集装器具及采购</w:t>
            </w:r>
          </w:p>
        </w:tc>
        <w:tc>
          <w:tcPr>
            <w:tcW w:w="860" w:type="dxa"/>
            <w:shd w:val="clear" w:color="auto" w:fill="auto"/>
            <w:vAlign w:val="center"/>
          </w:tcPr>
          <w:p w14:paraId="673F3371">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7EA55282">
            <w:pPr>
              <w:spacing w:line="240" w:lineRule="auto"/>
              <w:ind w:firstLine="0" w:firstLineChars="0"/>
              <w:jc w:val="center"/>
              <w:rPr>
                <w:rFonts w:hint="eastAsia" w:cs="Times New Roman" w:asciiTheme="minorEastAsia" w:hAnsiTheme="minorEastAsia"/>
                <w:sz w:val="22"/>
                <w:szCs w:val="24"/>
              </w:rPr>
            </w:pPr>
          </w:p>
        </w:tc>
      </w:tr>
      <w:tr w14:paraId="44C2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74581522">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722FC205">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9</w:t>
            </w:r>
          </w:p>
        </w:tc>
        <w:tc>
          <w:tcPr>
            <w:tcW w:w="4253" w:type="dxa"/>
            <w:shd w:val="clear" w:color="auto" w:fill="auto"/>
            <w:vAlign w:val="center"/>
          </w:tcPr>
          <w:p w14:paraId="2D331FA5">
            <w:pPr>
              <w:spacing w:line="240" w:lineRule="auto"/>
              <w:ind w:firstLine="0" w:firstLineChars="0"/>
              <w:jc w:val="center"/>
              <w:rPr>
                <w:rFonts w:hint="eastAsia" w:asciiTheme="minorEastAsia" w:hAnsiTheme="minorEastAsia"/>
                <w:sz w:val="22"/>
                <w:szCs w:val="24"/>
              </w:rPr>
            </w:pPr>
            <w:r>
              <w:rPr>
                <w:rFonts w:hint="eastAsia" w:asciiTheme="minorEastAsia" w:hAnsiTheme="minorEastAsia"/>
                <w:sz w:val="22"/>
                <w:szCs w:val="24"/>
              </w:rPr>
              <w:t>设备附件（含设备安装板及调节螺</w:t>
            </w:r>
          </w:p>
          <w:p w14:paraId="1D51D117">
            <w:pPr>
              <w:spacing w:line="240" w:lineRule="auto"/>
              <w:ind w:firstLine="0" w:firstLineChars="0"/>
              <w:jc w:val="center"/>
              <w:rPr>
                <w:rFonts w:hint="eastAsia" w:cs="Times New Roman" w:asciiTheme="minorEastAsia" w:hAnsiTheme="minorEastAsia"/>
                <w:sz w:val="22"/>
                <w:szCs w:val="24"/>
              </w:rPr>
            </w:pPr>
            <w:r>
              <w:rPr>
                <w:rFonts w:hint="eastAsia" w:asciiTheme="minorEastAsia" w:hAnsiTheme="minorEastAsia"/>
                <w:sz w:val="22"/>
                <w:szCs w:val="24"/>
              </w:rPr>
              <w:t>栓、安全护栏等）</w:t>
            </w:r>
          </w:p>
        </w:tc>
        <w:tc>
          <w:tcPr>
            <w:tcW w:w="860" w:type="dxa"/>
            <w:shd w:val="clear" w:color="auto" w:fill="auto"/>
            <w:vAlign w:val="center"/>
          </w:tcPr>
          <w:p w14:paraId="66CF1228">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30F86837">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0866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shd w:val="clear" w:color="auto" w:fill="auto"/>
            <w:vAlign w:val="center"/>
          </w:tcPr>
          <w:p w14:paraId="02CF2FF1">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2"/>
                <w:szCs w:val="24"/>
              </w:rPr>
              <w:t>电控部分</w:t>
            </w:r>
          </w:p>
        </w:tc>
        <w:tc>
          <w:tcPr>
            <w:tcW w:w="708" w:type="dxa"/>
            <w:shd w:val="clear" w:color="auto" w:fill="auto"/>
            <w:vAlign w:val="center"/>
          </w:tcPr>
          <w:p w14:paraId="616ECF45">
            <w:pPr>
              <w:spacing w:line="240" w:lineRule="auto"/>
              <w:ind w:firstLine="0" w:firstLineChars="0"/>
              <w:jc w:val="center"/>
              <w:rPr>
                <w:rFonts w:hint="eastAsia"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0</w:t>
            </w:r>
          </w:p>
        </w:tc>
        <w:tc>
          <w:tcPr>
            <w:tcW w:w="4253" w:type="dxa"/>
            <w:shd w:val="clear" w:color="auto" w:fill="auto"/>
            <w:vAlign w:val="center"/>
          </w:tcPr>
          <w:p w14:paraId="7312760A">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控制系统硬件</w:t>
            </w:r>
          </w:p>
        </w:tc>
        <w:tc>
          <w:tcPr>
            <w:tcW w:w="860" w:type="dxa"/>
            <w:shd w:val="clear" w:color="auto" w:fill="auto"/>
            <w:vAlign w:val="center"/>
          </w:tcPr>
          <w:p w14:paraId="264744A9">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1721D7F2">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12A1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5060668A">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1D4AA8A2">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1</w:t>
            </w:r>
          </w:p>
        </w:tc>
        <w:tc>
          <w:tcPr>
            <w:tcW w:w="4253" w:type="dxa"/>
            <w:shd w:val="clear" w:color="auto" w:fill="auto"/>
            <w:vAlign w:val="center"/>
          </w:tcPr>
          <w:p w14:paraId="543402ED">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控制系统软件</w:t>
            </w:r>
          </w:p>
        </w:tc>
        <w:tc>
          <w:tcPr>
            <w:tcW w:w="860" w:type="dxa"/>
            <w:shd w:val="clear" w:color="auto" w:fill="auto"/>
            <w:vAlign w:val="center"/>
          </w:tcPr>
          <w:p w14:paraId="6A612127">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2B41B3F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585F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5540BC3A">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2F81E406">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2</w:t>
            </w:r>
          </w:p>
        </w:tc>
        <w:tc>
          <w:tcPr>
            <w:tcW w:w="4253" w:type="dxa"/>
            <w:shd w:val="clear" w:color="auto" w:fill="auto"/>
            <w:vAlign w:val="center"/>
          </w:tcPr>
          <w:p w14:paraId="251583B0">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内部电缆和桥架</w:t>
            </w:r>
          </w:p>
        </w:tc>
        <w:tc>
          <w:tcPr>
            <w:tcW w:w="860" w:type="dxa"/>
            <w:shd w:val="clear" w:color="auto" w:fill="auto"/>
            <w:vAlign w:val="center"/>
          </w:tcPr>
          <w:p w14:paraId="4569B1AE">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02D249A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0384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6BA8C357">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445AC708">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3</w:t>
            </w:r>
          </w:p>
        </w:tc>
        <w:tc>
          <w:tcPr>
            <w:tcW w:w="4253" w:type="dxa"/>
            <w:shd w:val="clear" w:color="auto" w:fill="auto"/>
            <w:vAlign w:val="center"/>
          </w:tcPr>
          <w:p w14:paraId="6992636F">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外部到卖方配电柜电缆和桥架</w:t>
            </w:r>
          </w:p>
        </w:tc>
        <w:tc>
          <w:tcPr>
            <w:tcW w:w="860" w:type="dxa"/>
            <w:shd w:val="clear" w:color="auto" w:fill="auto"/>
            <w:vAlign w:val="center"/>
          </w:tcPr>
          <w:p w14:paraId="2FFD77E3">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29ECFBC9">
            <w:pPr>
              <w:spacing w:line="240" w:lineRule="auto"/>
              <w:ind w:firstLine="0" w:firstLineChars="0"/>
              <w:jc w:val="center"/>
              <w:rPr>
                <w:rFonts w:hint="eastAsia" w:cs="Times New Roman" w:asciiTheme="minorEastAsia" w:hAnsiTheme="minorEastAsia"/>
                <w:sz w:val="22"/>
                <w:szCs w:val="24"/>
              </w:rPr>
            </w:pPr>
          </w:p>
        </w:tc>
      </w:tr>
      <w:tr w14:paraId="1AAA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7B7F0831">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536A3A3C">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4</w:t>
            </w:r>
          </w:p>
        </w:tc>
        <w:tc>
          <w:tcPr>
            <w:tcW w:w="4253" w:type="dxa"/>
            <w:shd w:val="clear" w:color="auto" w:fill="auto"/>
            <w:vAlign w:val="center"/>
          </w:tcPr>
          <w:p w14:paraId="2D48E225">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总线电缆（Profibus/Profinet)</w:t>
            </w:r>
          </w:p>
        </w:tc>
        <w:tc>
          <w:tcPr>
            <w:tcW w:w="860" w:type="dxa"/>
            <w:shd w:val="clear" w:color="auto" w:fill="auto"/>
            <w:vAlign w:val="center"/>
          </w:tcPr>
          <w:p w14:paraId="601870D1">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24ACF7CA">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22D6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shd w:val="clear" w:color="auto" w:fill="auto"/>
            <w:vAlign w:val="center"/>
          </w:tcPr>
          <w:p w14:paraId="25E780E0">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2"/>
                <w:szCs w:val="24"/>
              </w:rPr>
              <w:t>网络部分</w:t>
            </w:r>
          </w:p>
        </w:tc>
        <w:tc>
          <w:tcPr>
            <w:tcW w:w="708" w:type="dxa"/>
            <w:shd w:val="clear" w:color="auto" w:fill="auto"/>
            <w:vAlign w:val="center"/>
          </w:tcPr>
          <w:p w14:paraId="3D47D243">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5</w:t>
            </w:r>
          </w:p>
        </w:tc>
        <w:tc>
          <w:tcPr>
            <w:tcW w:w="4253" w:type="dxa"/>
            <w:shd w:val="clear" w:color="auto" w:fill="auto"/>
            <w:vAlign w:val="center"/>
          </w:tcPr>
          <w:p w14:paraId="075A39B9">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仓储物流网络系统</w:t>
            </w:r>
          </w:p>
        </w:tc>
        <w:tc>
          <w:tcPr>
            <w:tcW w:w="860" w:type="dxa"/>
            <w:shd w:val="clear" w:color="auto" w:fill="auto"/>
            <w:vAlign w:val="center"/>
          </w:tcPr>
          <w:p w14:paraId="2B651878">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60687827">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5CA9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130A1315">
            <w:pPr>
              <w:spacing w:line="240" w:lineRule="auto"/>
              <w:ind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048ABD30">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6</w:t>
            </w:r>
          </w:p>
        </w:tc>
        <w:tc>
          <w:tcPr>
            <w:tcW w:w="4253" w:type="dxa"/>
            <w:shd w:val="clear" w:color="auto" w:fill="auto"/>
            <w:vAlign w:val="center"/>
          </w:tcPr>
          <w:p w14:paraId="59888286">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第三方系统（ERP 等买方其他系统）至卖方车间系统的网络工</w:t>
            </w:r>
          </w:p>
          <w:p w14:paraId="65042F56">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程（网线、光纤及施工）</w:t>
            </w:r>
          </w:p>
        </w:tc>
        <w:tc>
          <w:tcPr>
            <w:tcW w:w="860" w:type="dxa"/>
            <w:shd w:val="clear" w:color="auto" w:fill="auto"/>
            <w:vAlign w:val="center"/>
          </w:tcPr>
          <w:p w14:paraId="6C98DC38">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3F45325A">
            <w:pPr>
              <w:spacing w:line="240" w:lineRule="auto"/>
              <w:ind w:firstLine="0" w:firstLineChars="0"/>
              <w:jc w:val="center"/>
              <w:rPr>
                <w:rFonts w:hint="eastAsia" w:cs="Times New Roman" w:asciiTheme="minorEastAsia" w:hAnsiTheme="minorEastAsia"/>
                <w:sz w:val="22"/>
                <w:szCs w:val="24"/>
              </w:rPr>
            </w:pPr>
          </w:p>
        </w:tc>
      </w:tr>
      <w:tr w14:paraId="6860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shd w:val="clear" w:color="auto" w:fill="auto"/>
            <w:vAlign w:val="center"/>
          </w:tcPr>
          <w:p w14:paraId="6B5374DB">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进场、安装、调试阶段</w:t>
            </w:r>
          </w:p>
        </w:tc>
        <w:tc>
          <w:tcPr>
            <w:tcW w:w="708" w:type="dxa"/>
            <w:shd w:val="clear" w:color="auto" w:fill="auto"/>
            <w:vAlign w:val="center"/>
          </w:tcPr>
          <w:p w14:paraId="7BB6EC9E">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7</w:t>
            </w:r>
          </w:p>
        </w:tc>
        <w:tc>
          <w:tcPr>
            <w:tcW w:w="4253" w:type="dxa"/>
            <w:shd w:val="clear" w:color="auto" w:fill="auto"/>
            <w:vAlign w:val="center"/>
          </w:tcPr>
          <w:p w14:paraId="33A05B5E">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指导安装及调试</w:t>
            </w:r>
          </w:p>
        </w:tc>
        <w:tc>
          <w:tcPr>
            <w:tcW w:w="860" w:type="dxa"/>
            <w:shd w:val="clear" w:color="auto" w:fill="auto"/>
            <w:vAlign w:val="center"/>
          </w:tcPr>
          <w:p w14:paraId="29DDE344">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4064716F">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247E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58F3F384">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21D1FFB9">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1</w:t>
            </w:r>
            <w:r>
              <w:rPr>
                <w:rFonts w:cs="Times New Roman" w:asciiTheme="minorEastAsia" w:hAnsiTheme="minorEastAsia"/>
                <w:sz w:val="21"/>
                <w:szCs w:val="21"/>
              </w:rPr>
              <w:t>8</w:t>
            </w:r>
          </w:p>
        </w:tc>
        <w:tc>
          <w:tcPr>
            <w:tcW w:w="4253" w:type="dxa"/>
            <w:shd w:val="clear" w:color="auto" w:fill="auto"/>
            <w:vAlign w:val="center"/>
          </w:tcPr>
          <w:p w14:paraId="104C1DD9">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设备安装（机械、电控、网络）</w:t>
            </w:r>
          </w:p>
        </w:tc>
        <w:tc>
          <w:tcPr>
            <w:tcW w:w="860" w:type="dxa"/>
            <w:shd w:val="clear" w:color="auto" w:fill="auto"/>
            <w:vAlign w:val="center"/>
          </w:tcPr>
          <w:p w14:paraId="5321C5CD">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51AE3D9C">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2C9C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22DB8650">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5ABC6355">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1"/>
                <w:szCs w:val="21"/>
              </w:rPr>
              <w:t>19</w:t>
            </w:r>
          </w:p>
        </w:tc>
        <w:tc>
          <w:tcPr>
            <w:tcW w:w="4253" w:type="dxa"/>
            <w:shd w:val="clear" w:color="auto" w:fill="auto"/>
            <w:vAlign w:val="center"/>
          </w:tcPr>
          <w:p w14:paraId="083B9D88">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安装耗材及辅助材料</w:t>
            </w:r>
          </w:p>
        </w:tc>
        <w:tc>
          <w:tcPr>
            <w:tcW w:w="860" w:type="dxa"/>
            <w:shd w:val="clear" w:color="auto" w:fill="auto"/>
            <w:vAlign w:val="center"/>
          </w:tcPr>
          <w:p w14:paraId="7217223A">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7C88F145">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2D18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18898CDA">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6FED4D7A">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0</w:t>
            </w:r>
          </w:p>
        </w:tc>
        <w:tc>
          <w:tcPr>
            <w:tcW w:w="4253" w:type="dxa"/>
            <w:shd w:val="clear" w:color="auto" w:fill="auto"/>
            <w:vAlign w:val="center"/>
          </w:tcPr>
          <w:p w14:paraId="7DC229B1">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安装起吊及起吊设备</w:t>
            </w:r>
          </w:p>
        </w:tc>
        <w:tc>
          <w:tcPr>
            <w:tcW w:w="860" w:type="dxa"/>
            <w:shd w:val="clear" w:color="auto" w:fill="auto"/>
            <w:vAlign w:val="center"/>
          </w:tcPr>
          <w:p w14:paraId="1CC66C8E">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033F43CE">
            <w:pPr>
              <w:spacing w:line="240" w:lineRule="auto"/>
              <w:ind w:firstLine="0" w:firstLineChars="0"/>
              <w:jc w:val="center"/>
              <w:rPr>
                <w:rFonts w:hint="eastAsia" w:cs="Times New Roman" w:asciiTheme="minorEastAsia" w:hAnsiTheme="minorEastAsia"/>
                <w:sz w:val="22"/>
                <w:szCs w:val="24"/>
              </w:rPr>
            </w:pPr>
          </w:p>
        </w:tc>
      </w:tr>
      <w:tr w14:paraId="0368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2DCFE9DA">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1C4B2863">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1</w:t>
            </w:r>
          </w:p>
        </w:tc>
        <w:tc>
          <w:tcPr>
            <w:tcW w:w="4253" w:type="dxa"/>
            <w:shd w:val="clear" w:color="auto" w:fill="auto"/>
            <w:vAlign w:val="center"/>
          </w:tcPr>
          <w:p w14:paraId="0A592FCA">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设备二次灌浆</w:t>
            </w:r>
          </w:p>
        </w:tc>
        <w:tc>
          <w:tcPr>
            <w:tcW w:w="860" w:type="dxa"/>
            <w:shd w:val="clear" w:color="auto" w:fill="auto"/>
            <w:vAlign w:val="center"/>
          </w:tcPr>
          <w:p w14:paraId="1A8B1959">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65583150">
            <w:pPr>
              <w:spacing w:line="240" w:lineRule="auto"/>
              <w:ind w:firstLine="0" w:firstLineChars="0"/>
              <w:jc w:val="center"/>
              <w:rPr>
                <w:rFonts w:hint="eastAsia" w:cs="Times New Roman" w:asciiTheme="minorEastAsia" w:hAnsiTheme="minorEastAsia"/>
                <w:sz w:val="22"/>
                <w:szCs w:val="24"/>
              </w:rPr>
            </w:pPr>
          </w:p>
        </w:tc>
      </w:tr>
      <w:tr w14:paraId="32D9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6424BB65">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7035EFB9">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2</w:t>
            </w:r>
          </w:p>
        </w:tc>
        <w:tc>
          <w:tcPr>
            <w:tcW w:w="4253" w:type="dxa"/>
            <w:shd w:val="clear" w:color="auto" w:fill="auto"/>
            <w:vAlign w:val="center"/>
          </w:tcPr>
          <w:p w14:paraId="603A8AD6">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现场垃圾清理及清扫</w:t>
            </w:r>
          </w:p>
        </w:tc>
        <w:tc>
          <w:tcPr>
            <w:tcW w:w="860" w:type="dxa"/>
            <w:shd w:val="clear" w:color="auto" w:fill="auto"/>
            <w:vAlign w:val="center"/>
          </w:tcPr>
          <w:p w14:paraId="40ED0CAF">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610C605A">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6608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53A62514">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27E93FEB">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3</w:t>
            </w:r>
          </w:p>
        </w:tc>
        <w:tc>
          <w:tcPr>
            <w:tcW w:w="4253" w:type="dxa"/>
            <w:shd w:val="clear" w:color="auto" w:fill="auto"/>
            <w:vAlign w:val="center"/>
          </w:tcPr>
          <w:p w14:paraId="3A45D112">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垃圾最终处理</w:t>
            </w:r>
          </w:p>
        </w:tc>
        <w:tc>
          <w:tcPr>
            <w:tcW w:w="860" w:type="dxa"/>
            <w:shd w:val="clear" w:color="auto" w:fill="auto"/>
            <w:vAlign w:val="center"/>
          </w:tcPr>
          <w:p w14:paraId="237269F2">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77572A8C">
            <w:pPr>
              <w:spacing w:line="240" w:lineRule="auto"/>
              <w:ind w:firstLine="0" w:firstLineChars="0"/>
              <w:jc w:val="center"/>
              <w:rPr>
                <w:rFonts w:hint="eastAsia" w:cs="Times New Roman" w:asciiTheme="minorEastAsia" w:hAnsiTheme="minorEastAsia"/>
                <w:sz w:val="22"/>
                <w:szCs w:val="24"/>
              </w:rPr>
            </w:pPr>
          </w:p>
        </w:tc>
      </w:tr>
      <w:tr w14:paraId="6ED1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65C7D8CC">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3ED4FFBF">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4</w:t>
            </w:r>
          </w:p>
        </w:tc>
        <w:tc>
          <w:tcPr>
            <w:tcW w:w="4253" w:type="dxa"/>
            <w:shd w:val="clear" w:color="auto" w:fill="auto"/>
            <w:vAlign w:val="center"/>
          </w:tcPr>
          <w:p w14:paraId="0C6422F9">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现场调试所需物料</w:t>
            </w:r>
          </w:p>
        </w:tc>
        <w:tc>
          <w:tcPr>
            <w:tcW w:w="860" w:type="dxa"/>
            <w:shd w:val="clear" w:color="auto" w:fill="auto"/>
            <w:vAlign w:val="center"/>
          </w:tcPr>
          <w:p w14:paraId="789E631A">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6F4CC292">
            <w:pPr>
              <w:spacing w:line="240" w:lineRule="auto"/>
              <w:ind w:firstLine="0" w:firstLineChars="0"/>
              <w:jc w:val="center"/>
              <w:rPr>
                <w:rFonts w:hint="eastAsia" w:cs="Times New Roman" w:asciiTheme="minorEastAsia" w:hAnsiTheme="minorEastAsia"/>
                <w:sz w:val="22"/>
                <w:szCs w:val="24"/>
              </w:rPr>
            </w:pPr>
          </w:p>
        </w:tc>
      </w:tr>
      <w:tr w14:paraId="606E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6E394734">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266D7E1E">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5</w:t>
            </w:r>
          </w:p>
        </w:tc>
        <w:tc>
          <w:tcPr>
            <w:tcW w:w="4253" w:type="dxa"/>
            <w:shd w:val="clear" w:color="auto" w:fill="auto"/>
            <w:vAlign w:val="center"/>
          </w:tcPr>
          <w:p w14:paraId="518C11D9">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现场安装调试所需设施</w:t>
            </w:r>
          </w:p>
        </w:tc>
        <w:tc>
          <w:tcPr>
            <w:tcW w:w="860" w:type="dxa"/>
            <w:shd w:val="clear" w:color="auto" w:fill="auto"/>
            <w:vAlign w:val="center"/>
          </w:tcPr>
          <w:p w14:paraId="0595A09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583E1313">
            <w:pPr>
              <w:spacing w:line="240" w:lineRule="auto"/>
              <w:ind w:firstLine="0" w:firstLineChars="0"/>
              <w:jc w:val="center"/>
              <w:rPr>
                <w:rFonts w:hint="eastAsia" w:cs="Times New Roman" w:asciiTheme="minorEastAsia" w:hAnsiTheme="minorEastAsia"/>
                <w:sz w:val="22"/>
                <w:szCs w:val="24"/>
              </w:rPr>
            </w:pPr>
          </w:p>
        </w:tc>
      </w:tr>
      <w:tr w14:paraId="7D41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0E26BE89">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7F684211">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6</w:t>
            </w:r>
          </w:p>
        </w:tc>
        <w:tc>
          <w:tcPr>
            <w:tcW w:w="4253" w:type="dxa"/>
            <w:shd w:val="clear" w:color="auto" w:fill="auto"/>
            <w:vAlign w:val="center"/>
          </w:tcPr>
          <w:p w14:paraId="5DBB7E22">
            <w:pPr>
              <w:spacing w:line="240" w:lineRule="auto"/>
              <w:ind w:firstLine="0" w:firstLineChars="0"/>
              <w:jc w:val="center"/>
              <w:rPr>
                <w:rFonts w:hint="eastAsia" w:asciiTheme="minorEastAsia" w:hAnsiTheme="minorEastAsia"/>
                <w:sz w:val="22"/>
                <w:szCs w:val="24"/>
              </w:rPr>
            </w:pPr>
            <w:r>
              <w:rPr>
                <w:rFonts w:asciiTheme="minorEastAsia" w:hAnsiTheme="minorEastAsia"/>
                <w:sz w:val="22"/>
                <w:szCs w:val="24"/>
              </w:rPr>
              <w:t>现场施工电源点</w:t>
            </w:r>
          </w:p>
        </w:tc>
        <w:tc>
          <w:tcPr>
            <w:tcW w:w="860" w:type="dxa"/>
            <w:shd w:val="clear" w:color="auto" w:fill="auto"/>
            <w:vAlign w:val="center"/>
          </w:tcPr>
          <w:p w14:paraId="7CE2D735">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25670BEF">
            <w:pPr>
              <w:spacing w:line="240" w:lineRule="auto"/>
              <w:ind w:firstLine="0" w:firstLineChars="0"/>
              <w:jc w:val="center"/>
              <w:rPr>
                <w:rFonts w:hint="eastAsia" w:cs="Times New Roman" w:asciiTheme="minorEastAsia" w:hAnsiTheme="minorEastAsia"/>
                <w:sz w:val="22"/>
                <w:szCs w:val="24"/>
              </w:rPr>
            </w:pPr>
          </w:p>
        </w:tc>
      </w:tr>
      <w:tr w14:paraId="2F90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restart"/>
            <w:shd w:val="clear" w:color="auto" w:fill="auto"/>
            <w:vAlign w:val="center"/>
          </w:tcPr>
          <w:p w14:paraId="584DD080">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验收、售后阶段</w:t>
            </w:r>
          </w:p>
        </w:tc>
        <w:tc>
          <w:tcPr>
            <w:tcW w:w="708" w:type="dxa"/>
            <w:shd w:val="clear" w:color="auto" w:fill="auto"/>
            <w:vAlign w:val="center"/>
          </w:tcPr>
          <w:p w14:paraId="3C44B09E">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7</w:t>
            </w:r>
          </w:p>
        </w:tc>
        <w:tc>
          <w:tcPr>
            <w:tcW w:w="4253" w:type="dxa"/>
            <w:shd w:val="clear" w:color="auto" w:fill="auto"/>
            <w:vAlign w:val="center"/>
          </w:tcPr>
          <w:p w14:paraId="32386960">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现场管理、设备培训</w:t>
            </w:r>
          </w:p>
        </w:tc>
        <w:tc>
          <w:tcPr>
            <w:tcW w:w="860" w:type="dxa"/>
            <w:shd w:val="clear" w:color="auto" w:fill="auto"/>
            <w:vAlign w:val="center"/>
          </w:tcPr>
          <w:p w14:paraId="392F68C2">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6AD2AEFE">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3B6B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4C4B8F4F">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09C5AAA9">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8</w:t>
            </w:r>
          </w:p>
        </w:tc>
        <w:tc>
          <w:tcPr>
            <w:tcW w:w="4253" w:type="dxa"/>
            <w:shd w:val="clear" w:color="auto" w:fill="auto"/>
            <w:vAlign w:val="center"/>
          </w:tcPr>
          <w:p w14:paraId="7F30CA8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技术材料（设备使用、维护说明书）的提交</w:t>
            </w:r>
          </w:p>
        </w:tc>
        <w:tc>
          <w:tcPr>
            <w:tcW w:w="860" w:type="dxa"/>
            <w:shd w:val="clear" w:color="auto" w:fill="auto"/>
            <w:vAlign w:val="center"/>
          </w:tcPr>
          <w:p w14:paraId="0DD621D7">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6ADD008E">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55B9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1D2C8807">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506B2F23">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2</w:t>
            </w:r>
            <w:r>
              <w:rPr>
                <w:rFonts w:cs="Times New Roman" w:asciiTheme="minorEastAsia" w:hAnsiTheme="minorEastAsia"/>
                <w:sz w:val="21"/>
                <w:szCs w:val="21"/>
              </w:rPr>
              <w:t>9</w:t>
            </w:r>
          </w:p>
        </w:tc>
        <w:tc>
          <w:tcPr>
            <w:tcW w:w="4253" w:type="dxa"/>
            <w:shd w:val="clear" w:color="auto" w:fill="auto"/>
            <w:vAlign w:val="center"/>
          </w:tcPr>
          <w:p w14:paraId="3AFC2D34">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技术材料的接收</w:t>
            </w:r>
          </w:p>
        </w:tc>
        <w:tc>
          <w:tcPr>
            <w:tcW w:w="860" w:type="dxa"/>
            <w:shd w:val="clear" w:color="auto" w:fill="auto"/>
            <w:vAlign w:val="center"/>
          </w:tcPr>
          <w:p w14:paraId="775EF569">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10F9AEF7">
            <w:pPr>
              <w:spacing w:line="240" w:lineRule="auto"/>
              <w:ind w:firstLine="0" w:firstLineChars="0"/>
              <w:jc w:val="center"/>
              <w:rPr>
                <w:rFonts w:hint="eastAsia" w:cs="Times New Roman" w:asciiTheme="minorEastAsia" w:hAnsiTheme="minorEastAsia"/>
                <w:sz w:val="22"/>
                <w:szCs w:val="24"/>
              </w:rPr>
            </w:pPr>
          </w:p>
        </w:tc>
      </w:tr>
      <w:tr w14:paraId="6CAE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584F619D">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7860B94B">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3</w:t>
            </w:r>
            <w:r>
              <w:rPr>
                <w:rFonts w:cs="Times New Roman" w:asciiTheme="minorEastAsia" w:hAnsiTheme="minorEastAsia"/>
                <w:sz w:val="21"/>
                <w:szCs w:val="21"/>
              </w:rPr>
              <w:t>0</w:t>
            </w:r>
          </w:p>
        </w:tc>
        <w:tc>
          <w:tcPr>
            <w:tcW w:w="4253" w:type="dxa"/>
            <w:shd w:val="clear" w:color="auto" w:fill="auto"/>
            <w:vAlign w:val="center"/>
          </w:tcPr>
          <w:p w14:paraId="31B17CB7">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验收</w:t>
            </w:r>
          </w:p>
        </w:tc>
        <w:tc>
          <w:tcPr>
            <w:tcW w:w="860" w:type="dxa"/>
            <w:shd w:val="clear" w:color="auto" w:fill="auto"/>
            <w:vAlign w:val="center"/>
          </w:tcPr>
          <w:p w14:paraId="010A45BC">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c>
          <w:tcPr>
            <w:tcW w:w="920" w:type="dxa"/>
            <w:shd w:val="clear" w:color="auto" w:fill="auto"/>
            <w:vAlign w:val="center"/>
          </w:tcPr>
          <w:p w14:paraId="0221FB31">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r w14:paraId="4C7B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5" w:type="dxa"/>
            <w:vMerge w:val="continue"/>
            <w:shd w:val="clear" w:color="auto" w:fill="auto"/>
            <w:vAlign w:val="center"/>
          </w:tcPr>
          <w:p w14:paraId="733250A2">
            <w:pPr>
              <w:pStyle w:val="20"/>
              <w:spacing w:line="240" w:lineRule="auto"/>
              <w:ind w:left="3840" w:firstLine="0" w:firstLineChars="0"/>
              <w:jc w:val="center"/>
              <w:rPr>
                <w:rFonts w:hint="eastAsia" w:cs="Times New Roman" w:asciiTheme="minorEastAsia" w:hAnsiTheme="minorEastAsia"/>
                <w:sz w:val="22"/>
                <w:szCs w:val="24"/>
              </w:rPr>
            </w:pPr>
          </w:p>
        </w:tc>
        <w:tc>
          <w:tcPr>
            <w:tcW w:w="708" w:type="dxa"/>
            <w:shd w:val="clear" w:color="auto" w:fill="auto"/>
            <w:vAlign w:val="center"/>
          </w:tcPr>
          <w:p w14:paraId="6C4C50E8">
            <w:pPr>
              <w:spacing w:line="240" w:lineRule="auto"/>
              <w:ind w:firstLine="0" w:firstLineChars="0"/>
              <w:jc w:val="center"/>
              <w:rPr>
                <w:rFonts w:hint="eastAsia" w:cs="Times New Roman" w:asciiTheme="minorEastAsia" w:hAnsiTheme="minorEastAsia"/>
                <w:sz w:val="22"/>
                <w:szCs w:val="24"/>
              </w:rPr>
            </w:pPr>
            <w:r>
              <w:rPr>
                <w:rFonts w:hint="eastAsia" w:cs="Times New Roman" w:asciiTheme="minorEastAsia" w:hAnsiTheme="minorEastAsia"/>
                <w:sz w:val="21"/>
                <w:szCs w:val="21"/>
              </w:rPr>
              <w:t>3</w:t>
            </w:r>
            <w:r>
              <w:rPr>
                <w:rFonts w:cs="Times New Roman" w:asciiTheme="minorEastAsia" w:hAnsiTheme="minorEastAsia"/>
                <w:sz w:val="21"/>
                <w:szCs w:val="21"/>
              </w:rPr>
              <w:t>1</w:t>
            </w:r>
          </w:p>
        </w:tc>
        <w:tc>
          <w:tcPr>
            <w:tcW w:w="4253" w:type="dxa"/>
            <w:shd w:val="clear" w:color="auto" w:fill="auto"/>
            <w:vAlign w:val="center"/>
          </w:tcPr>
          <w:p w14:paraId="46C8D070">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质保维护</w:t>
            </w:r>
          </w:p>
        </w:tc>
        <w:tc>
          <w:tcPr>
            <w:tcW w:w="860" w:type="dxa"/>
            <w:shd w:val="clear" w:color="auto" w:fill="auto"/>
            <w:vAlign w:val="center"/>
          </w:tcPr>
          <w:p w14:paraId="20F131C8">
            <w:pPr>
              <w:spacing w:line="240" w:lineRule="auto"/>
              <w:ind w:firstLine="0" w:firstLineChars="0"/>
              <w:jc w:val="center"/>
              <w:rPr>
                <w:rFonts w:hint="eastAsia" w:cs="Times New Roman" w:asciiTheme="minorEastAsia" w:hAnsiTheme="minorEastAsia"/>
                <w:sz w:val="22"/>
                <w:szCs w:val="24"/>
              </w:rPr>
            </w:pPr>
          </w:p>
        </w:tc>
        <w:tc>
          <w:tcPr>
            <w:tcW w:w="920" w:type="dxa"/>
            <w:shd w:val="clear" w:color="auto" w:fill="auto"/>
            <w:vAlign w:val="center"/>
          </w:tcPr>
          <w:p w14:paraId="600F7802">
            <w:pPr>
              <w:spacing w:line="240" w:lineRule="auto"/>
              <w:ind w:firstLine="0" w:firstLineChars="0"/>
              <w:jc w:val="center"/>
              <w:rPr>
                <w:rFonts w:hint="eastAsia" w:cs="Times New Roman" w:asciiTheme="minorEastAsia" w:hAnsiTheme="minorEastAsia"/>
                <w:sz w:val="22"/>
                <w:szCs w:val="24"/>
              </w:rPr>
            </w:pPr>
            <w:r>
              <w:rPr>
                <w:rFonts w:cs="Times New Roman" w:asciiTheme="minorEastAsia" w:hAnsiTheme="minorEastAsia"/>
                <w:sz w:val="22"/>
                <w:szCs w:val="24"/>
              </w:rPr>
              <w:t>√</w:t>
            </w:r>
          </w:p>
        </w:tc>
      </w:tr>
    </w:tbl>
    <w:p w14:paraId="42A68E36">
      <w:pPr>
        <w:pStyle w:val="2"/>
        <w:rPr>
          <w:rFonts w:hint="eastAsia"/>
        </w:rPr>
        <w:sectPr>
          <w:footerReference r:id="rId11" w:type="default"/>
          <w:pgSz w:w="11910" w:h="16840"/>
          <w:pgMar w:top="1418" w:right="1418" w:bottom="1418" w:left="1418" w:header="680" w:footer="1196" w:gutter="0"/>
          <w:cols w:space="720" w:num="1"/>
          <w:docGrid w:linePitch="326" w:charSpace="0"/>
        </w:sectPr>
      </w:pPr>
    </w:p>
    <w:p w14:paraId="0AAA763A">
      <w:pPr>
        <w:pStyle w:val="3"/>
      </w:pPr>
      <w:bookmarkStart w:id="14" w:name="_Toc21923"/>
      <w:bookmarkStart w:id="15" w:name="_Toc186452589"/>
      <w:bookmarkStart w:id="16" w:name="_Toc186389140"/>
      <w:r>
        <w:t>总体描述</w:t>
      </w:r>
      <w:bookmarkEnd w:id="14"/>
      <w:bookmarkEnd w:id="15"/>
      <w:bookmarkEnd w:id="16"/>
    </w:p>
    <w:p w14:paraId="488642EC">
      <w:pPr>
        <w:ind w:firstLine="480"/>
        <w:rPr>
          <w:rFonts w:ascii="Times New Roman" w:hAnsi="Times New Roman" w:cs="Times New Roman"/>
        </w:rPr>
      </w:pPr>
      <w:r>
        <w:rPr>
          <w:rFonts w:ascii="Times New Roman" w:hAnsi="Times New Roman" w:cs="Times New Roman"/>
        </w:rPr>
        <w:t>项目设计坚持以现代物流思想为指导，按照需求及时获取、资源透明可视、过程灵活控制、</w:t>
      </w:r>
      <w:r>
        <w:rPr>
          <w:rFonts w:hint="eastAsia" w:ascii="Times New Roman" w:hAnsi="Times New Roman" w:cs="Times New Roman"/>
        </w:rPr>
        <w:t>仓内</w:t>
      </w:r>
      <w:r>
        <w:rPr>
          <w:rFonts w:ascii="Times New Roman" w:hAnsi="Times New Roman" w:cs="Times New Roman"/>
        </w:rPr>
        <w:t>物流全局整合优化的要求，把仓库设计、建设放在现代</w:t>
      </w:r>
      <w:r>
        <w:rPr>
          <w:rFonts w:hint="eastAsia" w:ascii="Times New Roman" w:hAnsi="Times New Roman" w:cs="Times New Roman"/>
        </w:rPr>
        <w:t>生产企业</w:t>
      </w:r>
      <w:r>
        <w:rPr>
          <w:rFonts w:ascii="Times New Roman" w:hAnsi="Times New Roman" w:cs="Times New Roman"/>
        </w:rPr>
        <w:t>物流体系建设的全局中考虑。</w:t>
      </w:r>
    </w:p>
    <w:p w14:paraId="61C225E2">
      <w:pPr>
        <w:pStyle w:val="3"/>
      </w:pPr>
      <w:bookmarkStart w:id="17" w:name="_Toc186389141"/>
      <w:bookmarkStart w:id="18" w:name="_Toc69483272"/>
      <w:bookmarkStart w:id="19" w:name="_Toc186452590"/>
      <w:bookmarkStart w:id="20" w:name="_Toc2941"/>
      <w:r>
        <w:t>设计原则</w:t>
      </w:r>
      <w:bookmarkEnd w:id="17"/>
      <w:bookmarkEnd w:id="18"/>
      <w:bookmarkEnd w:id="19"/>
      <w:bookmarkEnd w:id="20"/>
    </w:p>
    <w:p w14:paraId="70343A3F">
      <w:pPr>
        <w:pStyle w:val="20"/>
        <w:numPr>
          <w:ilvl w:val="0"/>
          <w:numId w:val="3"/>
        </w:numPr>
        <w:ind w:firstLineChars="0"/>
        <w:rPr>
          <w:rFonts w:ascii="Times New Roman" w:hAnsi="Times New Roman" w:cs="Times New Roman"/>
        </w:rPr>
      </w:pPr>
      <w:r>
        <w:rPr>
          <w:rFonts w:ascii="Times New Roman" w:hAnsi="Times New Roman" w:cs="Times New Roman"/>
        </w:rPr>
        <w:t>先进性：采用国际、国内流行的先进技术和产品，适应技术发展需求。</w:t>
      </w:r>
    </w:p>
    <w:p w14:paraId="1EAB795A">
      <w:pPr>
        <w:pStyle w:val="20"/>
        <w:numPr>
          <w:ilvl w:val="0"/>
          <w:numId w:val="3"/>
        </w:numPr>
        <w:ind w:firstLineChars="0"/>
        <w:rPr>
          <w:rFonts w:ascii="Times New Roman" w:hAnsi="Times New Roman" w:cs="Times New Roman"/>
        </w:rPr>
      </w:pPr>
      <w:r>
        <w:rPr>
          <w:rFonts w:ascii="Times New Roman" w:hAnsi="Times New Roman" w:cs="Times New Roman"/>
        </w:rPr>
        <w:t>兼容性：能支持常用自控设备和通讯接口、通讯协议。</w:t>
      </w:r>
    </w:p>
    <w:p w14:paraId="335B2BEA">
      <w:pPr>
        <w:pStyle w:val="20"/>
        <w:numPr>
          <w:ilvl w:val="0"/>
          <w:numId w:val="3"/>
        </w:numPr>
        <w:ind w:firstLineChars="0"/>
        <w:rPr>
          <w:rFonts w:ascii="Times New Roman" w:hAnsi="Times New Roman" w:cs="Times New Roman"/>
        </w:rPr>
      </w:pPr>
      <w:r>
        <w:rPr>
          <w:rFonts w:ascii="Times New Roman" w:hAnsi="Times New Roman" w:cs="Times New Roman"/>
        </w:rPr>
        <w:t xml:space="preserve">标准化：采用标准化的设计，优先采用标准化产品和设计方法。 </w:t>
      </w:r>
    </w:p>
    <w:p w14:paraId="4BB08F04">
      <w:pPr>
        <w:pStyle w:val="20"/>
        <w:numPr>
          <w:ilvl w:val="0"/>
          <w:numId w:val="3"/>
        </w:numPr>
        <w:ind w:firstLineChars="0"/>
        <w:rPr>
          <w:rFonts w:ascii="Times New Roman" w:hAnsi="Times New Roman" w:cs="Times New Roman"/>
        </w:rPr>
      </w:pPr>
      <w:r>
        <w:rPr>
          <w:rFonts w:ascii="Times New Roman" w:hAnsi="Times New Roman" w:cs="Times New Roman"/>
        </w:rPr>
        <w:t>易用性、易维护性：充分考虑操作、管理、维护的可视化、层次化、界面友好，易学易用，能适应不同素质的人员，降低系统的管理维护和操作成本。</w:t>
      </w:r>
    </w:p>
    <w:p w14:paraId="4F6B7294">
      <w:pPr>
        <w:pStyle w:val="20"/>
        <w:numPr>
          <w:ilvl w:val="0"/>
          <w:numId w:val="3"/>
        </w:numPr>
        <w:ind w:firstLineChars="0"/>
        <w:rPr>
          <w:rFonts w:ascii="Times New Roman" w:hAnsi="Times New Roman" w:cs="Times New Roman"/>
        </w:rPr>
      </w:pPr>
      <w:r>
        <w:rPr>
          <w:rFonts w:ascii="Times New Roman" w:hAnsi="Times New Roman" w:cs="Times New Roman"/>
        </w:rPr>
        <w:t>模块化、参数化：控制软件和程序采用模块化、参数化的设计方法。</w:t>
      </w:r>
    </w:p>
    <w:p w14:paraId="681787B5">
      <w:pPr>
        <w:pStyle w:val="20"/>
        <w:numPr>
          <w:ilvl w:val="0"/>
          <w:numId w:val="3"/>
        </w:numPr>
        <w:ind w:firstLineChars="0"/>
        <w:rPr>
          <w:rFonts w:ascii="Times New Roman" w:hAnsi="Times New Roman" w:cs="Times New Roman"/>
        </w:rPr>
      </w:pPr>
      <w:r>
        <w:rPr>
          <w:rFonts w:ascii="Times New Roman" w:hAnsi="Times New Roman" w:cs="Times New Roman"/>
        </w:rPr>
        <w:t>安全性及可靠性：采用必要的措施，保证系统正常运行、数据通讯安全及控制的实时性。</w:t>
      </w:r>
    </w:p>
    <w:p w14:paraId="69BE12D4">
      <w:pPr>
        <w:pStyle w:val="20"/>
        <w:numPr>
          <w:ilvl w:val="0"/>
          <w:numId w:val="3"/>
        </w:numPr>
        <w:ind w:firstLineChars="0"/>
        <w:rPr>
          <w:rFonts w:ascii="Times New Roman" w:hAnsi="Times New Roman" w:cs="Times New Roman"/>
        </w:rPr>
      </w:pPr>
      <w:r>
        <w:rPr>
          <w:rFonts w:ascii="Times New Roman" w:hAnsi="Times New Roman" w:cs="Times New Roman"/>
        </w:rPr>
        <w:t>经济性：系统方案设计经济合理，具有较好的性价比。</w:t>
      </w:r>
    </w:p>
    <w:p w14:paraId="3BE53452">
      <w:pPr>
        <w:pStyle w:val="20"/>
        <w:numPr>
          <w:ilvl w:val="0"/>
          <w:numId w:val="3"/>
        </w:numPr>
        <w:ind w:firstLineChars="0"/>
        <w:rPr>
          <w:rFonts w:ascii="Times New Roman" w:hAnsi="Times New Roman" w:cs="Times New Roman"/>
        </w:rPr>
      </w:pPr>
      <w:r>
        <w:rPr>
          <w:rFonts w:ascii="Times New Roman" w:hAnsi="Times New Roman" w:cs="Times New Roman"/>
        </w:rPr>
        <w:t>可扩展性：本工程应考虑到未来发展，设计时考虑系统的扩充和升级能力。</w:t>
      </w:r>
    </w:p>
    <w:p w14:paraId="6314F771">
      <w:pPr>
        <w:pStyle w:val="20"/>
        <w:numPr>
          <w:ilvl w:val="0"/>
          <w:numId w:val="3"/>
        </w:numPr>
        <w:ind w:firstLineChars="0"/>
        <w:rPr>
          <w:rFonts w:ascii="Times New Roman" w:hAnsi="Times New Roman" w:cs="Times New Roman"/>
        </w:rPr>
      </w:pPr>
      <w:r>
        <w:rPr>
          <w:rFonts w:hint="eastAsia" w:ascii="Times New Roman" w:hAnsi="Times New Roman" w:cs="Times New Roman"/>
        </w:rPr>
        <w:t>生态友好性：在方案设计及设备选型过程中，充分考虑能源节约、资源节约，具有较好的低碳环保属性。</w:t>
      </w:r>
    </w:p>
    <w:p w14:paraId="36659918">
      <w:pPr>
        <w:pStyle w:val="3"/>
      </w:pPr>
      <w:bookmarkStart w:id="21" w:name="_Toc69483273"/>
      <w:bookmarkStart w:id="22" w:name="_Toc186452591"/>
      <w:bookmarkStart w:id="23" w:name="_Toc186389142"/>
      <w:bookmarkStart w:id="24" w:name="_Toc6995"/>
      <w:r>
        <w:t>设备选型原则</w:t>
      </w:r>
      <w:bookmarkEnd w:id="21"/>
      <w:bookmarkEnd w:id="22"/>
      <w:bookmarkEnd w:id="23"/>
      <w:bookmarkEnd w:id="24"/>
    </w:p>
    <w:p w14:paraId="72AF0EE6">
      <w:pPr>
        <w:ind w:firstLine="480"/>
        <w:rPr>
          <w:rFonts w:ascii="Times New Roman" w:hAnsi="Times New Roman" w:cs="Times New Roman"/>
          <w:lang w:val="en-GB"/>
        </w:rPr>
      </w:pPr>
      <w:r>
        <w:rPr>
          <w:rFonts w:ascii="Times New Roman" w:hAnsi="Times New Roman" w:cs="Times New Roman"/>
          <w:lang w:val="en-GB"/>
        </w:rPr>
        <w:t>设备选型应具备</w:t>
      </w:r>
      <w:r>
        <w:rPr>
          <w:rFonts w:ascii="Times New Roman" w:hAnsi="Times New Roman" w:cs="Times New Roman"/>
        </w:rPr>
        <w:t>先进性</w:t>
      </w:r>
      <w:r>
        <w:rPr>
          <w:rFonts w:ascii="Times New Roman" w:hAnsi="Times New Roman" w:cs="Times New Roman"/>
          <w:lang w:val="en-GB"/>
        </w:rPr>
        <w:t>、实用性、成熟性、安全性、可靠性、经济性、一致性、开放性、兼容性、节能环保性。易操作性、易修改性、可扩充性、可维护性</w:t>
      </w:r>
      <w:r>
        <w:rPr>
          <w:rFonts w:hint="eastAsia" w:ascii="Times New Roman" w:hAnsi="Times New Roman" w:cs="Times New Roman"/>
          <w:lang w:val="en-GB"/>
        </w:rPr>
        <w:t>、能源节约性</w:t>
      </w:r>
      <w:r>
        <w:rPr>
          <w:rFonts w:ascii="Times New Roman" w:hAnsi="Times New Roman" w:cs="Times New Roman"/>
          <w:lang w:val="en-GB"/>
        </w:rPr>
        <w:t>；模块化、参数化、标准化、通用化、主流化、性能价格比最优等原则。</w:t>
      </w:r>
    </w:p>
    <w:p w14:paraId="40DB7DF3">
      <w:pPr>
        <w:pStyle w:val="2"/>
        <w:rPr>
          <w:rFonts w:hint="eastAsia"/>
        </w:rPr>
      </w:pPr>
      <w:bookmarkStart w:id="25" w:name="_Toc29205"/>
      <w:bookmarkStart w:id="26" w:name="_Toc186389143"/>
      <w:bookmarkStart w:id="27" w:name="_Toc69483274"/>
      <w:bookmarkStart w:id="28" w:name="_Toc186452592"/>
      <w:r>
        <w:t>设计依据及范围</w:t>
      </w:r>
      <w:bookmarkEnd w:id="25"/>
      <w:bookmarkEnd w:id="26"/>
      <w:bookmarkEnd w:id="27"/>
      <w:bookmarkEnd w:id="28"/>
    </w:p>
    <w:p w14:paraId="3F7B9870">
      <w:pPr>
        <w:pStyle w:val="3"/>
        <w:rPr>
          <w:rFonts w:ascii="Times New Roman" w:hAnsi="Times New Roman"/>
        </w:rPr>
      </w:pPr>
      <w:bookmarkStart w:id="29" w:name="_Toc186452593"/>
      <w:bookmarkStart w:id="30" w:name="_Toc19377"/>
      <w:bookmarkStart w:id="31" w:name="_Toc186389144"/>
      <w:r>
        <w:rPr>
          <w:rFonts w:ascii="Times New Roman" w:hAnsi="Times New Roman"/>
        </w:rPr>
        <w:t>设计依据</w:t>
      </w:r>
      <w:bookmarkEnd w:id="29"/>
      <w:bookmarkEnd w:id="30"/>
      <w:bookmarkEnd w:id="31"/>
    </w:p>
    <w:p w14:paraId="0393CD45">
      <w:pPr>
        <w:ind w:firstLine="480"/>
        <w:rPr>
          <w:rFonts w:ascii="Times New Roman" w:hAnsi="Times New Roman" w:cs="Times New Roman"/>
          <w:lang w:val="en-GB"/>
        </w:rPr>
      </w:pPr>
      <w:r>
        <w:rPr>
          <w:rFonts w:ascii="Times New Roman" w:hAnsi="Times New Roman" w:cs="Times New Roman"/>
          <w:lang w:val="en-GB"/>
        </w:rPr>
        <w:t>本项目中所涉及的设备设计、制造、包装、运输、安装、验收所应符合的标准、规范和有关的标准，包含且不仅包含招标文件中所提到的国家及国际标准。</w:t>
      </w:r>
    </w:p>
    <w:p w14:paraId="5836759B">
      <w:pPr>
        <w:ind w:firstLine="0" w:firstLineChars="0"/>
        <w:rPr>
          <w:rFonts w:ascii="Times New Roman" w:hAnsi="Times New Roman" w:cs="Times New Roman"/>
          <w:lang w:val="en-GB"/>
        </w:rPr>
      </w:pPr>
      <w:r>
        <w:rPr>
          <w:rFonts w:ascii="Times New Roman" w:hAnsi="Times New Roman" w:cs="Times New Roman"/>
          <w:lang w:val="en-GB"/>
        </w:rPr>
        <w:t>设备的所有仪器和仪表的度量单位全部采用国际单位制（SI）；所有仪器和仪表的设计及试验应符合国际工业标准（ISO）及国际电工标准（IEC）。</w:t>
      </w:r>
    </w:p>
    <w:p w14:paraId="3C4A9539">
      <w:pPr>
        <w:pStyle w:val="3"/>
        <w:rPr>
          <w:rFonts w:ascii="Times New Roman" w:hAnsi="Times New Roman"/>
        </w:rPr>
      </w:pPr>
      <w:bookmarkStart w:id="32" w:name="_Toc186452594"/>
      <w:bookmarkStart w:id="33" w:name="_Toc4901"/>
      <w:bookmarkStart w:id="34" w:name="_Toc186389145"/>
      <w:r>
        <w:rPr>
          <w:rFonts w:ascii="Times New Roman" w:hAnsi="Times New Roman"/>
        </w:rPr>
        <w:t>工程范围</w:t>
      </w:r>
      <w:bookmarkEnd w:id="32"/>
      <w:bookmarkEnd w:id="33"/>
      <w:bookmarkEnd w:id="34"/>
    </w:p>
    <w:p w14:paraId="144B845A">
      <w:pPr>
        <w:pStyle w:val="5"/>
        <w:ind w:firstLine="0" w:firstLineChars="0"/>
        <w:jc w:val="center"/>
        <w:rPr>
          <w:rFonts w:ascii="Times New Roman" w:hAnsi="Times New Roman" w:cs="Times New Roman"/>
        </w:rPr>
      </w:pPr>
      <w:r>
        <w:rPr>
          <w:rFonts w:ascii="Times New Roman" w:hAnsi="Times New Roman" w:cs="Times New Roman"/>
        </w:rPr>
        <w:t>工程范围表</w:t>
      </w:r>
    </w:p>
    <w:tbl>
      <w:tblPr>
        <w:tblStyle w:val="16"/>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443"/>
        <w:gridCol w:w="1944"/>
        <w:gridCol w:w="2456"/>
      </w:tblGrid>
      <w:tr w14:paraId="681D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17" w:type="dxa"/>
            <w:vAlign w:val="center"/>
          </w:tcPr>
          <w:p w14:paraId="30211F9A">
            <w:pPr>
              <w:spacing w:line="276" w:lineRule="auto"/>
              <w:ind w:firstLine="0" w:firstLineChars="0"/>
              <w:jc w:val="center"/>
              <w:rPr>
                <w:rFonts w:hint="eastAsia" w:cs="Times New Roman" w:asciiTheme="minorEastAsia" w:hAnsiTheme="minorEastAsia"/>
                <w:b/>
                <w:bCs/>
                <w:sz w:val="21"/>
                <w:szCs w:val="21"/>
                <w:lang w:val="en-GB"/>
              </w:rPr>
            </w:pPr>
            <w:r>
              <w:rPr>
                <w:rFonts w:cs="Times New Roman" w:asciiTheme="minorEastAsia" w:hAnsiTheme="minorEastAsia"/>
                <w:b/>
                <w:bCs/>
                <w:sz w:val="21"/>
                <w:szCs w:val="21"/>
                <w:lang w:val="en-GB"/>
              </w:rPr>
              <w:t>序号</w:t>
            </w:r>
          </w:p>
        </w:tc>
        <w:tc>
          <w:tcPr>
            <w:tcW w:w="3443" w:type="dxa"/>
            <w:vAlign w:val="center"/>
          </w:tcPr>
          <w:p w14:paraId="01C6258D">
            <w:pPr>
              <w:spacing w:line="276" w:lineRule="auto"/>
              <w:ind w:firstLine="0" w:firstLineChars="0"/>
              <w:jc w:val="center"/>
              <w:rPr>
                <w:rFonts w:hint="eastAsia" w:cs="Times New Roman" w:asciiTheme="minorEastAsia" w:hAnsiTheme="minorEastAsia"/>
                <w:b/>
                <w:bCs/>
                <w:sz w:val="21"/>
                <w:szCs w:val="21"/>
                <w:lang w:val="en-GB"/>
              </w:rPr>
            </w:pPr>
            <w:r>
              <w:rPr>
                <w:rFonts w:cs="Times New Roman" w:asciiTheme="minorEastAsia" w:hAnsiTheme="minorEastAsia"/>
                <w:b/>
                <w:bCs/>
                <w:sz w:val="21"/>
                <w:szCs w:val="21"/>
                <w:lang w:val="en-GB"/>
              </w:rPr>
              <w:t>供货项目</w:t>
            </w:r>
          </w:p>
        </w:tc>
        <w:tc>
          <w:tcPr>
            <w:tcW w:w="1944" w:type="dxa"/>
            <w:vAlign w:val="center"/>
          </w:tcPr>
          <w:p w14:paraId="299B3418">
            <w:pPr>
              <w:spacing w:line="276" w:lineRule="auto"/>
              <w:ind w:firstLine="0" w:firstLineChars="0"/>
              <w:jc w:val="center"/>
              <w:rPr>
                <w:rFonts w:hint="eastAsia" w:cs="Times New Roman" w:asciiTheme="minorEastAsia" w:hAnsiTheme="minorEastAsia"/>
                <w:b/>
                <w:bCs/>
                <w:sz w:val="21"/>
                <w:szCs w:val="21"/>
                <w:lang w:val="en-GB"/>
              </w:rPr>
            </w:pPr>
            <w:r>
              <w:rPr>
                <w:rFonts w:cs="Times New Roman" w:asciiTheme="minorEastAsia" w:hAnsiTheme="minorEastAsia"/>
                <w:b/>
                <w:bCs/>
                <w:sz w:val="21"/>
                <w:szCs w:val="21"/>
                <w:lang w:val="en-GB"/>
              </w:rPr>
              <w:t>数量/内容</w:t>
            </w:r>
          </w:p>
        </w:tc>
        <w:tc>
          <w:tcPr>
            <w:tcW w:w="2456" w:type="dxa"/>
            <w:vAlign w:val="center"/>
          </w:tcPr>
          <w:p w14:paraId="422A3418">
            <w:pPr>
              <w:spacing w:line="276" w:lineRule="auto"/>
              <w:ind w:firstLine="0" w:firstLineChars="0"/>
              <w:jc w:val="center"/>
              <w:rPr>
                <w:rFonts w:hint="eastAsia" w:cs="Times New Roman" w:asciiTheme="minorEastAsia" w:hAnsiTheme="minorEastAsia"/>
                <w:b/>
                <w:bCs/>
                <w:sz w:val="21"/>
                <w:szCs w:val="21"/>
                <w:lang w:val="en-GB"/>
              </w:rPr>
            </w:pPr>
            <w:r>
              <w:rPr>
                <w:rFonts w:cs="Times New Roman" w:asciiTheme="minorEastAsia" w:hAnsiTheme="minorEastAsia"/>
                <w:b/>
                <w:bCs/>
                <w:sz w:val="21"/>
                <w:szCs w:val="21"/>
                <w:lang w:val="en-GB"/>
              </w:rPr>
              <w:t>说明</w:t>
            </w:r>
          </w:p>
        </w:tc>
      </w:tr>
      <w:tr w14:paraId="1DED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Align w:val="center"/>
          </w:tcPr>
          <w:p w14:paraId="479748BE">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1</w:t>
            </w:r>
          </w:p>
        </w:tc>
        <w:tc>
          <w:tcPr>
            <w:tcW w:w="3443" w:type="dxa"/>
            <w:vAlign w:val="center"/>
          </w:tcPr>
          <w:p w14:paraId="11CE838F">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纸箱</w:t>
            </w:r>
            <w:r>
              <w:rPr>
                <w:rFonts w:cs="Times New Roman" w:asciiTheme="minorEastAsia" w:hAnsiTheme="minorEastAsia"/>
                <w:sz w:val="21"/>
                <w:szCs w:val="21"/>
                <w:lang w:val="en-GB"/>
              </w:rPr>
              <w:t>输送线</w:t>
            </w:r>
            <w:r>
              <w:rPr>
                <w:rFonts w:hint="eastAsia" w:cs="Times New Roman" w:asciiTheme="minorEastAsia" w:hAnsiTheme="minorEastAsia"/>
                <w:sz w:val="21"/>
                <w:szCs w:val="21"/>
                <w:lang w:val="en-GB"/>
              </w:rPr>
              <w:t>系统</w:t>
            </w:r>
          </w:p>
        </w:tc>
        <w:tc>
          <w:tcPr>
            <w:tcW w:w="1944" w:type="dxa"/>
            <w:vAlign w:val="center"/>
          </w:tcPr>
          <w:p w14:paraId="3A99B2F5">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lang w:val="en-GB"/>
              </w:rPr>
              <w:t>1套</w:t>
            </w:r>
          </w:p>
        </w:tc>
        <w:tc>
          <w:tcPr>
            <w:tcW w:w="2456" w:type="dxa"/>
            <w:vAlign w:val="center"/>
          </w:tcPr>
          <w:p w14:paraId="357328B6">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lang w:val="en-GB"/>
              </w:rPr>
              <w:t>含光电等</w:t>
            </w:r>
          </w:p>
        </w:tc>
      </w:tr>
      <w:tr w14:paraId="5C7D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vAlign w:val="center"/>
          </w:tcPr>
          <w:p w14:paraId="40571EED">
            <w:pPr>
              <w:spacing w:line="276" w:lineRule="auto"/>
              <w:ind w:firstLine="0" w:firstLineChars="0"/>
              <w:jc w:val="center"/>
              <w:rPr>
                <w:rFonts w:hint="eastAsia" w:cs="Times New Roman" w:asciiTheme="minorEastAsia" w:hAnsiTheme="minorEastAsia"/>
                <w:sz w:val="21"/>
                <w:szCs w:val="21"/>
              </w:rPr>
            </w:pPr>
            <w:r>
              <w:rPr>
                <w:rFonts w:hint="eastAsia" w:cs="Times New Roman" w:asciiTheme="minorEastAsia" w:hAnsiTheme="minorEastAsia"/>
                <w:sz w:val="21"/>
                <w:szCs w:val="21"/>
              </w:rPr>
              <w:t>2</w:t>
            </w:r>
          </w:p>
        </w:tc>
        <w:tc>
          <w:tcPr>
            <w:tcW w:w="3443" w:type="dxa"/>
            <w:vAlign w:val="center"/>
          </w:tcPr>
          <w:p w14:paraId="694A50BF">
            <w:pPr>
              <w:spacing w:line="276" w:lineRule="auto"/>
              <w:ind w:firstLine="0" w:firstLineChars="0"/>
              <w:jc w:val="center"/>
              <w:rPr>
                <w:rFonts w:hint="eastAsia" w:cs="Times New Roman" w:asciiTheme="minorEastAsia" w:hAnsiTheme="minorEastAsia"/>
                <w:sz w:val="21"/>
                <w:szCs w:val="21"/>
              </w:rPr>
            </w:pPr>
            <w:r>
              <w:rPr>
                <w:rFonts w:hint="eastAsia" w:cs="Times New Roman" w:asciiTheme="minorEastAsia" w:hAnsiTheme="minorEastAsia"/>
                <w:sz w:val="21"/>
                <w:szCs w:val="21"/>
              </w:rPr>
              <w:t>码垛机器人</w:t>
            </w:r>
          </w:p>
        </w:tc>
        <w:tc>
          <w:tcPr>
            <w:tcW w:w="1944" w:type="dxa"/>
            <w:vAlign w:val="center"/>
          </w:tcPr>
          <w:p w14:paraId="6308A9BE">
            <w:pPr>
              <w:spacing w:line="276" w:lineRule="auto"/>
              <w:ind w:firstLine="0" w:firstLineChars="0"/>
              <w:jc w:val="center"/>
              <w:rPr>
                <w:rFonts w:hint="eastAsia" w:cs="Times New Roman" w:asciiTheme="minorEastAsia" w:hAnsiTheme="minorEastAsia"/>
                <w:sz w:val="21"/>
                <w:szCs w:val="21"/>
                <w:highlight w:val="yellow"/>
                <w:lang w:val="en-GB"/>
              </w:rPr>
            </w:pPr>
            <w:r>
              <w:rPr>
                <w:rFonts w:hint="eastAsia" w:cs="Times New Roman" w:asciiTheme="minorEastAsia" w:hAnsiTheme="minorEastAsia"/>
                <w:sz w:val="21"/>
                <w:szCs w:val="21"/>
                <w:lang w:val="en-GB"/>
              </w:rPr>
              <w:t>1</w:t>
            </w:r>
            <w:r>
              <w:rPr>
                <w:rFonts w:hint="eastAsia" w:cs="Times New Roman" w:asciiTheme="minorEastAsia" w:hAnsiTheme="minorEastAsia"/>
                <w:sz w:val="21"/>
                <w:szCs w:val="21"/>
              </w:rPr>
              <w:t>0</w:t>
            </w:r>
            <w:r>
              <w:rPr>
                <w:rFonts w:hint="eastAsia" w:cs="Times New Roman" w:asciiTheme="minorEastAsia" w:hAnsiTheme="minorEastAsia"/>
                <w:sz w:val="21"/>
                <w:szCs w:val="21"/>
                <w:lang w:val="en-GB"/>
              </w:rPr>
              <w:t>套</w:t>
            </w:r>
          </w:p>
        </w:tc>
        <w:tc>
          <w:tcPr>
            <w:tcW w:w="2456" w:type="dxa"/>
            <w:vAlign w:val="center"/>
          </w:tcPr>
          <w:p w14:paraId="5E64CF9D">
            <w:pPr>
              <w:spacing w:line="276" w:lineRule="auto"/>
              <w:ind w:firstLine="0" w:firstLineChars="0"/>
              <w:jc w:val="center"/>
              <w:rPr>
                <w:rFonts w:hint="eastAsia" w:cs="Times New Roman" w:asciiTheme="minorEastAsia" w:hAnsiTheme="minorEastAsia"/>
                <w:sz w:val="21"/>
                <w:szCs w:val="21"/>
                <w:highlight w:val="yellow"/>
                <w:lang w:val="en-GB"/>
              </w:rPr>
            </w:pPr>
            <w:r>
              <w:rPr>
                <w:rFonts w:hint="eastAsia" w:cs="Times New Roman" w:asciiTheme="minorEastAsia" w:hAnsiTheme="minorEastAsia"/>
                <w:sz w:val="21"/>
                <w:szCs w:val="21"/>
                <w:lang w:val="en-GB"/>
              </w:rPr>
              <w:t>埃夫特</w:t>
            </w:r>
          </w:p>
        </w:tc>
      </w:tr>
      <w:tr w14:paraId="438F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5ABB31BB">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3</w:t>
            </w:r>
          </w:p>
        </w:tc>
        <w:tc>
          <w:tcPr>
            <w:tcW w:w="3443" w:type="dxa"/>
            <w:vAlign w:val="center"/>
          </w:tcPr>
          <w:p w14:paraId="5A6FCB31">
            <w:pPr>
              <w:spacing w:line="276" w:lineRule="auto"/>
              <w:ind w:firstLine="0" w:firstLineChars="0"/>
              <w:jc w:val="center"/>
              <w:rPr>
                <w:rFonts w:hint="eastAsia" w:cs="Times New Roman" w:asciiTheme="minorEastAsia" w:hAnsiTheme="minorEastAsia"/>
                <w:sz w:val="21"/>
                <w:szCs w:val="21"/>
              </w:rPr>
            </w:pPr>
            <w:r>
              <w:rPr>
                <w:rFonts w:hint="eastAsia" w:cs="Times New Roman" w:asciiTheme="minorEastAsia" w:hAnsiTheme="minorEastAsia"/>
                <w:sz w:val="21"/>
                <w:szCs w:val="21"/>
              </w:rPr>
              <w:t>纸杯机扇形纸片自动上料</w:t>
            </w:r>
          </w:p>
        </w:tc>
        <w:tc>
          <w:tcPr>
            <w:tcW w:w="1944" w:type="dxa"/>
            <w:vAlign w:val="center"/>
          </w:tcPr>
          <w:p w14:paraId="0DD30519">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11套</w:t>
            </w:r>
          </w:p>
        </w:tc>
        <w:tc>
          <w:tcPr>
            <w:tcW w:w="2456" w:type="dxa"/>
            <w:vAlign w:val="center"/>
          </w:tcPr>
          <w:p w14:paraId="737751F1">
            <w:pPr>
              <w:spacing w:line="276" w:lineRule="auto"/>
              <w:ind w:firstLine="0" w:firstLineChars="0"/>
              <w:jc w:val="center"/>
              <w:rPr>
                <w:rFonts w:hint="eastAsia" w:cs="Times New Roman" w:asciiTheme="minorEastAsia" w:hAnsiTheme="minorEastAsia"/>
                <w:sz w:val="21"/>
                <w:szCs w:val="21"/>
                <w:lang w:val="en-GB"/>
              </w:rPr>
            </w:pPr>
          </w:p>
        </w:tc>
      </w:tr>
      <w:tr w14:paraId="2006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72D9964E">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4</w:t>
            </w:r>
          </w:p>
        </w:tc>
        <w:tc>
          <w:tcPr>
            <w:tcW w:w="3443" w:type="dxa"/>
            <w:vAlign w:val="center"/>
          </w:tcPr>
          <w:p w14:paraId="20682C11">
            <w:pPr>
              <w:spacing w:line="276" w:lineRule="auto"/>
              <w:ind w:firstLine="0" w:firstLineChars="0"/>
              <w:jc w:val="center"/>
              <w:rPr>
                <w:rFonts w:hint="eastAsia" w:cs="Times New Roman" w:asciiTheme="minorEastAsia" w:hAnsiTheme="minorEastAsia"/>
                <w:sz w:val="21"/>
                <w:szCs w:val="21"/>
              </w:rPr>
            </w:pPr>
            <w:r>
              <w:rPr>
                <w:rFonts w:hint="eastAsia" w:cs="Times New Roman" w:asciiTheme="minorEastAsia" w:hAnsiTheme="minorEastAsia"/>
                <w:sz w:val="21"/>
                <w:szCs w:val="21"/>
              </w:rPr>
              <w:t>纸杯机包装纸板自动上料</w:t>
            </w:r>
          </w:p>
        </w:tc>
        <w:tc>
          <w:tcPr>
            <w:tcW w:w="1944" w:type="dxa"/>
            <w:vAlign w:val="center"/>
          </w:tcPr>
          <w:p w14:paraId="576F5A39">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4套</w:t>
            </w:r>
          </w:p>
        </w:tc>
        <w:tc>
          <w:tcPr>
            <w:tcW w:w="2456" w:type="dxa"/>
            <w:vAlign w:val="center"/>
          </w:tcPr>
          <w:p w14:paraId="65E51293">
            <w:pPr>
              <w:spacing w:line="276" w:lineRule="auto"/>
              <w:ind w:firstLine="0" w:firstLineChars="0"/>
              <w:jc w:val="center"/>
              <w:rPr>
                <w:rFonts w:hint="eastAsia" w:cs="Times New Roman" w:asciiTheme="minorEastAsia" w:hAnsiTheme="minorEastAsia"/>
                <w:sz w:val="21"/>
                <w:szCs w:val="21"/>
                <w:lang w:val="en-GB"/>
              </w:rPr>
            </w:pPr>
          </w:p>
        </w:tc>
      </w:tr>
      <w:tr w14:paraId="0CF4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3238B097">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5</w:t>
            </w:r>
          </w:p>
        </w:tc>
        <w:tc>
          <w:tcPr>
            <w:tcW w:w="3443" w:type="dxa"/>
            <w:vAlign w:val="center"/>
          </w:tcPr>
          <w:p w14:paraId="43DB7197">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电气控制系统</w:t>
            </w:r>
          </w:p>
        </w:tc>
        <w:tc>
          <w:tcPr>
            <w:tcW w:w="1944" w:type="dxa"/>
            <w:vAlign w:val="center"/>
          </w:tcPr>
          <w:p w14:paraId="54A17470">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lang w:val="en-GB"/>
              </w:rPr>
              <w:t>1</w:t>
            </w:r>
            <w:r>
              <w:rPr>
                <w:rFonts w:cs="Times New Roman" w:asciiTheme="minorEastAsia" w:hAnsiTheme="minorEastAsia"/>
                <w:sz w:val="21"/>
                <w:szCs w:val="21"/>
                <w:lang w:val="en-GB"/>
              </w:rPr>
              <w:t>套</w:t>
            </w:r>
          </w:p>
        </w:tc>
        <w:tc>
          <w:tcPr>
            <w:tcW w:w="2456" w:type="dxa"/>
            <w:vAlign w:val="center"/>
          </w:tcPr>
          <w:p w14:paraId="50FCCA92">
            <w:pPr>
              <w:spacing w:line="276" w:lineRule="auto"/>
              <w:ind w:firstLine="0" w:firstLineChars="0"/>
              <w:jc w:val="center"/>
              <w:rPr>
                <w:rFonts w:hint="eastAsia" w:cs="Times New Roman" w:asciiTheme="minorEastAsia" w:hAnsiTheme="minorEastAsia"/>
                <w:sz w:val="21"/>
                <w:szCs w:val="21"/>
                <w:lang w:val="en-GB"/>
              </w:rPr>
            </w:pPr>
          </w:p>
        </w:tc>
      </w:tr>
      <w:tr w14:paraId="2453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0F716DF8">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6</w:t>
            </w:r>
          </w:p>
        </w:tc>
        <w:tc>
          <w:tcPr>
            <w:tcW w:w="3443" w:type="dxa"/>
            <w:vAlign w:val="center"/>
          </w:tcPr>
          <w:p w14:paraId="0D947F31">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软件控制系统</w:t>
            </w:r>
          </w:p>
        </w:tc>
        <w:tc>
          <w:tcPr>
            <w:tcW w:w="1944" w:type="dxa"/>
            <w:vAlign w:val="center"/>
          </w:tcPr>
          <w:p w14:paraId="14E021D7">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1套</w:t>
            </w:r>
          </w:p>
        </w:tc>
        <w:tc>
          <w:tcPr>
            <w:tcW w:w="2456" w:type="dxa"/>
            <w:vAlign w:val="center"/>
          </w:tcPr>
          <w:p w14:paraId="757F00EE">
            <w:pPr>
              <w:spacing w:line="276" w:lineRule="auto"/>
              <w:ind w:firstLine="0" w:firstLineChars="0"/>
              <w:jc w:val="center"/>
              <w:rPr>
                <w:rFonts w:hint="eastAsia" w:cs="Times New Roman" w:asciiTheme="minorEastAsia" w:hAnsiTheme="minorEastAsia"/>
                <w:sz w:val="21"/>
                <w:szCs w:val="21"/>
              </w:rPr>
            </w:pPr>
            <w:r>
              <w:rPr>
                <w:rFonts w:hint="eastAsia" w:cs="Times New Roman" w:asciiTheme="minorEastAsia" w:hAnsiTheme="minorEastAsia"/>
                <w:sz w:val="21"/>
                <w:szCs w:val="21"/>
              </w:rPr>
              <w:t>全场系统共用</w:t>
            </w:r>
          </w:p>
        </w:tc>
      </w:tr>
      <w:tr w14:paraId="1B92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37BE9967">
            <w:pPr>
              <w:spacing w:line="276" w:lineRule="auto"/>
              <w:ind w:firstLine="0" w:firstLineChars="0"/>
              <w:jc w:val="center"/>
              <w:rPr>
                <w:rFonts w:hint="eastAsia" w:cs="Times New Roman" w:asciiTheme="minorEastAsia" w:hAnsiTheme="minorEastAsia"/>
                <w:sz w:val="21"/>
                <w:szCs w:val="21"/>
              </w:rPr>
            </w:pPr>
            <w:r>
              <w:rPr>
                <w:rFonts w:hint="eastAsia" w:cs="Times New Roman" w:asciiTheme="minorEastAsia" w:hAnsiTheme="minorEastAsia"/>
                <w:sz w:val="21"/>
                <w:szCs w:val="21"/>
              </w:rPr>
              <w:t>8</w:t>
            </w:r>
          </w:p>
        </w:tc>
        <w:tc>
          <w:tcPr>
            <w:tcW w:w="3443" w:type="dxa"/>
            <w:vAlign w:val="center"/>
          </w:tcPr>
          <w:p w14:paraId="260FE048">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设备包装和运输及</w:t>
            </w:r>
            <w:r>
              <w:rPr>
                <w:rFonts w:hint="eastAsia" w:cs="Times New Roman" w:asciiTheme="minorEastAsia" w:hAnsiTheme="minorEastAsia"/>
                <w:sz w:val="21"/>
                <w:szCs w:val="21"/>
                <w:lang w:val="en-GB"/>
              </w:rPr>
              <w:t>装卸</w:t>
            </w:r>
            <w:r>
              <w:rPr>
                <w:rFonts w:cs="Times New Roman" w:asciiTheme="minorEastAsia" w:hAnsiTheme="minorEastAsia"/>
                <w:sz w:val="21"/>
                <w:szCs w:val="21"/>
                <w:lang w:val="en-GB"/>
              </w:rPr>
              <w:t>等</w:t>
            </w:r>
          </w:p>
        </w:tc>
        <w:tc>
          <w:tcPr>
            <w:tcW w:w="1944" w:type="dxa"/>
            <w:vAlign w:val="center"/>
          </w:tcPr>
          <w:p w14:paraId="4A1BF828">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1套</w:t>
            </w:r>
          </w:p>
        </w:tc>
        <w:tc>
          <w:tcPr>
            <w:tcW w:w="2456" w:type="dxa"/>
            <w:vAlign w:val="center"/>
          </w:tcPr>
          <w:p w14:paraId="2E0BF3BE">
            <w:pPr>
              <w:spacing w:line="276" w:lineRule="auto"/>
              <w:ind w:firstLine="0" w:firstLineChars="0"/>
              <w:jc w:val="center"/>
              <w:rPr>
                <w:rFonts w:hint="eastAsia" w:cs="Times New Roman" w:asciiTheme="minorEastAsia" w:hAnsiTheme="minorEastAsia"/>
                <w:sz w:val="21"/>
                <w:szCs w:val="21"/>
                <w:lang w:val="en-GB"/>
              </w:rPr>
            </w:pPr>
          </w:p>
        </w:tc>
      </w:tr>
      <w:tr w14:paraId="164B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61EC078B">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9</w:t>
            </w:r>
          </w:p>
        </w:tc>
        <w:tc>
          <w:tcPr>
            <w:tcW w:w="3443" w:type="dxa"/>
            <w:vAlign w:val="center"/>
          </w:tcPr>
          <w:p w14:paraId="36EA3E95">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设备整体安装调试</w:t>
            </w:r>
          </w:p>
        </w:tc>
        <w:tc>
          <w:tcPr>
            <w:tcW w:w="1944" w:type="dxa"/>
            <w:vAlign w:val="center"/>
          </w:tcPr>
          <w:p w14:paraId="536FA0DC">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1套</w:t>
            </w:r>
          </w:p>
        </w:tc>
        <w:tc>
          <w:tcPr>
            <w:tcW w:w="2456" w:type="dxa"/>
            <w:vAlign w:val="center"/>
          </w:tcPr>
          <w:p w14:paraId="7C7B03BE">
            <w:pPr>
              <w:spacing w:line="276" w:lineRule="auto"/>
              <w:ind w:firstLine="0" w:firstLineChars="0"/>
              <w:jc w:val="center"/>
              <w:rPr>
                <w:rFonts w:hint="eastAsia" w:cs="Times New Roman" w:asciiTheme="minorEastAsia" w:hAnsiTheme="minorEastAsia"/>
                <w:sz w:val="21"/>
                <w:szCs w:val="21"/>
                <w:lang w:val="en-GB"/>
              </w:rPr>
            </w:pPr>
          </w:p>
        </w:tc>
      </w:tr>
      <w:tr w14:paraId="2747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7" w:type="dxa"/>
            <w:shd w:val="clear" w:color="auto" w:fill="auto"/>
            <w:vAlign w:val="center"/>
          </w:tcPr>
          <w:p w14:paraId="68599BE3">
            <w:pPr>
              <w:spacing w:line="276" w:lineRule="auto"/>
              <w:ind w:firstLine="0" w:firstLineChars="0"/>
              <w:jc w:val="center"/>
              <w:rPr>
                <w:rFonts w:hint="eastAsia" w:cs="Times New Roman" w:asciiTheme="minorEastAsia" w:hAnsiTheme="minorEastAsia"/>
                <w:sz w:val="21"/>
                <w:szCs w:val="21"/>
                <w:lang w:val="en-GB"/>
              </w:rPr>
            </w:pPr>
            <w:r>
              <w:rPr>
                <w:rFonts w:hint="eastAsia" w:cs="Times New Roman" w:asciiTheme="minorEastAsia" w:hAnsiTheme="minorEastAsia"/>
                <w:sz w:val="21"/>
                <w:szCs w:val="21"/>
              </w:rPr>
              <w:t>10</w:t>
            </w:r>
          </w:p>
        </w:tc>
        <w:tc>
          <w:tcPr>
            <w:tcW w:w="3443" w:type="dxa"/>
            <w:vAlign w:val="center"/>
          </w:tcPr>
          <w:p w14:paraId="50BE3CD0">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随机备品备件</w:t>
            </w:r>
          </w:p>
        </w:tc>
        <w:tc>
          <w:tcPr>
            <w:tcW w:w="1944" w:type="dxa"/>
            <w:vAlign w:val="center"/>
          </w:tcPr>
          <w:p w14:paraId="2D2FE03D">
            <w:pPr>
              <w:spacing w:line="276" w:lineRule="auto"/>
              <w:ind w:firstLine="0" w:firstLineChars="0"/>
              <w:jc w:val="center"/>
              <w:rPr>
                <w:rFonts w:hint="eastAsia" w:cs="Times New Roman" w:asciiTheme="minorEastAsia" w:hAnsiTheme="minorEastAsia"/>
                <w:sz w:val="21"/>
                <w:szCs w:val="21"/>
                <w:lang w:val="en-GB"/>
              </w:rPr>
            </w:pPr>
            <w:r>
              <w:rPr>
                <w:rFonts w:cs="Times New Roman" w:asciiTheme="minorEastAsia" w:hAnsiTheme="minorEastAsia"/>
                <w:sz w:val="21"/>
                <w:szCs w:val="21"/>
                <w:lang w:val="en-GB"/>
              </w:rPr>
              <w:t>1套</w:t>
            </w:r>
          </w:p>
        </w:tc>
        <w:tc>
          <w:tcPr>
            <w:tcW w:w="2456" w:type="dxa"/>
            <w:vAlign w:val="center"/>
          </w:tcPr>
          <w:p w14:paraId="20BA547C">
            <w:pPr>
              <w:spacing w:line="276" w:lineRule="auto"/>
              <w:ind w:firstLine="0" w:firstLineChars="0"/>
              <w:jc w:val="center"/>
              <w:rPr>
                <w:rFonts w:hint="eastAsia" w:cs="Times New Roman" w:asciiTheme="minorEastAsia" w:hAnsiTheme="minorEastAsia"/>
                <w:sz w:val="21"/>
                <w:szCs w:val="21"/>
                <w:lang w:val="en-GB"/>
              </w:rPr>
            </w:pPr>
          </w:p>
        </w:tc>
      </w:tr>
    </w:tbl>
    <w:p w14:paraId="0C9FD2C3">
      <w:pPr>
        <w:pStyle w:val="5"/>
        <w:ind w:firstLine="0" w:firstLineChars="0"/>
        <w:jc w:val="center"/>
        <w:rPr>
          <w:rFonts w:ascii="Times New Roman" w:hAnsi="Times New Roman" w:cs="Times New Roman"/>
        </w:rPr>
      </w:pPr>
    </w:p>
    <w:p w14:paraId="6A6547D9">
      <w:pPr>
        <w:pStyle w:val="2"/>
        <w:rPr>
          <w:rFonts w:ascii="Times New Roman" w:hAnsi="Times New Roman"/>
        </w:rPr>
      </w:pPr>
      <w:bookmarkStart w:id="35" w:name="_Toc186452595"/>
      <w:bookmarkStart w:id="36" w:name="_Toc13858"/>
      <w:bookmarkStart w:id="37" w:name="_Toc186389146"/>
      <w:r>
        <w:rPr>
          <w:rFonts w:ascii="Times New Roman" w:hAnsi="Times New Roman"/>
        </w:rPr>
        <w:t>规划设计方案</w:t>
      </w:r>
      <w:bookmarkEnd w:id="35"/>
      <w:bookmarkEnd w:id="36"/>
      <w:bookmarkEnd w:id="37"/>
    </w:p>
    <w:p w14:paraId="4A8234D6">
      <w:pPr>
        <w:ind w:firstLine="480"/>
        <w:rPr>
          <w:rFonts w:hint="eastAsia" w:ascii="宋体" w:hAnsi="宋体"/>
        </w:rPr>
      </w:pPr>
      <w:r>
        <w:rPr>
          <w:rFonts w:hint="eastAsia" w:ascii="宋体" w:hAnsi="宋体"/>
        </w:rPr>
        <w:t>本协议</w:t>
      </w:r>
      <w:r>
        <w:rPr>
          <w:rFonts w:ascii="宋体" w:hAnsi="宋体"/>
        </w:rPr>
        <w:t>包</w:t>
      </w:r>
      <w:r>
        <w:rPr>
          <w:rFonts w:hint="eastAsia" w:ascii="宋体" w:hAnsi="宋体"/>
        </w:rPr>
        <w:t>成品库前输送系统</w:t>
      </w:r>
      <w:r>
        <w:rPr>
          <w:rFonts w:hint="eastAsia"/>
          <w:color w:val="000000"/>
          <w:szCs w:val="24"/>
        </w:rPr>
        <w:t>箱式输送线、</w:t>
      </w:r>
      <w:r>
        <w:rPr>
          <w:rFonts w:hint="eastAsia" w:ascii="宋体" w:hAnsi="宋体"/>
        </w:rPr>
        <w:t>码垛机器人等设备的设计、</w:t>
      </w:r>
      <w:r>
        <w:rPr>
          <w:rFonts w:ascii="宋体" w:hAnsi="宋体"/>
        </w:rPr>
        <w:t>制造、</w:t>
      </w:r>
      <w:r>
        <w:rPr>
          <w:rFonts w:hint="eastAsia" w:ascii="宋体" w:hAnsi="宋体"/>
        </w:rPr>
        <w:t>包装</w:t>
      </w:r>
      <w:r>
        <w:rPr>
          <w:rFonts w:ascii="宋体" w:hAnsi="宋体"/>
        </w:rPr>
        <w:t>、运输、</w:t>
      </w:r>
      <w:r>
        <w:rPr>
          <w:rFonts w:hint="eastAsia" w:ascii="宋体" w:hAnsi="宋体"/>
        </w:rPr>
        <w:t>装卸</w:t>
      </w:r>
      <w:r>
        <w:rPr>
          <w:rFonts w:ascii="宋体" w:hAnsi="宋体"/>
        </w:rPr>
        <w:t>、安装、</w:t>
      </w:r>
      <w:r>
        <w:rPr>
          <w:rFonts w:hint="eastAsia" w:ascii="宋体" w:hAnsi="宋体"/>
        </w:rPr>
        <w:t>单机</w:t>
      </w:r>
      <w:r>
        <w:rPr>
          <w:rFonts w:ascii="宋体" w:hAnsi="宋体"/>
        </w:rPr>
        <w:t>调试、验收及售后的整套工程</w:t>
      </w:r>
      <w:r>
        <w:rPr>
          <w:rFonts w:hint="eastAsia" w:ascii="宋体" w:hAnsi="宋体"/>
        </w:rPr>
        <w:t>。</w:t>
      </w:r>
    </w:p>
    <w:p w14:paraId="0031C9E4">
      <w:pPr>
        <w:ind w:firstLine="0" w:firstLineChars="0"/>
        <w:rPr>
          <w:rFonts w:ascii="Times New Roman" w:hAnsi="Times New Roman" w:cs="Times New Roman"/>
          <w:lang w:val="en-GB"/>
        </w:rPr>
      </w:pPr>
      <w:r>
        <w:rPr>
          <w:rFonts w:ascii="Times New Roman" w:hAnsi="Times New Roman" w:cs="Times New Roman"/>
          <w:lang w:val="en-GB"/>
        </w:rPr>
        <w:t>设备运行环境：</w:t>
      </w:r>
      <w:r>
        <w:rPr>
          <w:rFonts w:hint="eastAsia" w:ascii="Times New Roman" w:hAnsi="Times New Roman" w:cs="Times New Roman"/>
          <w:lang w:val="en-GB"/>
        </w:rPr>
        <w:t xml:space="preserve"> </w:t>
      </w:r>
    </w:p>
    <w:p w14:paraId="111AE2A2">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项目地点：安徽省滁州市明光市</w:t>
      </w:r>
    </w:p>
    <w:p w14:paraId="4F751A2C">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温度：室内一般环境条件设计，-</w:t>
      </w:r>
      <w:r>
        <w:rPr>
          <w:rFonts w:ascii="Times New Roman" w:hAnsi="Times New Roman" w:cs="Times New Roman"/>
          <w:lang w:val="en-GB"/>
        </w:rPr>
        <w:t>5~+</w:t>
      </w:r>
      <w:r>
        <w:rPr>
          <w:rFonts w:hint="eastAsia" w:ascii="Times New Roman" w:hAnsi="Times New Roman" w:cs="Times New Roman"/>
          <w:lang w:val="en-GB"/>
        </w:rPr>
        <w:t>40 ℃；</w:t>
      </w:r>
    </w:p>
    <w:p w14:paraId="5A79F077">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湿度：</w:t>
      </w:r>
      <w:r>
        <w:rPr>
          <w:rFonts w:ascii="Times New Roman" w:hAnsi="Times New Roman" w:cs="Times New Roman"/>
          <w:lang w:val="en-GB"/>
        </w:rPr>
        <w:t>35-75%</w:t>
      </w:r>
      <w:r>
        <w:rPr>
          <w:rFonts w:hint="eastAsia" w:ascii="Times New Roman" w:hAnsi="Times New Roman" w:cs="Times New Roman"/>
          <w:lang w:val="en-GB"/>
        </w:rPr>
        <w:t>，不凝结；</w:t>
      </w:r>
    </w:p>
    <w:p w14:paraId="130AF986">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输入电源：动力AC220/380V，50HZ，电压波动范围±1HZ；地线和零线严格分开，接地电阻值≤4Ω；</w:t>
      </w:r>
    </w:p>
    <w:p w14:paraId="27133990">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压缩空气：接入点为垂直升降机区域（安全门），气压</w:t>
      </w:r>
      <w:r>
        <w:rPr>
          <w:rFonts w:ascii="Times New Roman" w:hAnsi="Times New Roman" w:cs="Times New Roman"/>
          <w:lang w:val="en-GB"/>
        </w:rPr>
        <w:t xml:space="preserve"> 0.5-0.7Mpa</w:t>
      </w:r>
      <w:r>
        <w:rPr>
          <w:rFonts w:hint="eastAsia" w:ascii="Times New Roman" w:hAnsi="Times New Roman" w:cs="Times New Roman"/>
          <w:lang w:val="en-GB"/>
        </w:rPr>
        <w:t>，露点</w:t>
      </w:r>
      <w:r>
        <w:rPr>
          <w:rFonts w:ascii="Times New Roman" w:hAnsi="Times New Roman" w:cs="Times New Roman"/>
          <w:lang w:val="en-GB"/>
        </w:rPr>
        <w:t>+2~+10</w:t>
      </w:r>
      <w:r>
        <w:rPr>
          <w:rFonts w:hint="eastAsia" w:ascii="Times New Roman" w:hAnsi="Times New Roman" w:cs="Times New Roman"/>
          <w:lang w:val="en-GB"/>
        </w:rPr>
        <w:t>℃，</w:t>
      </w:r>
      <w:r>
        <w:rPr>
          <w:rFonts w:ascii="Times New Roman" w:hAnsi="Times New Roman" w:cs="Times New Roman"/>
          <w:lang w:val="en-GB"/>
        </w:rPr>
        <w:t xml:space="preserve"> </w:t>
      </w:r>
      <w:r>
        <w:rPr>
          <w:rFonts w:hint="eastAsia" w:ascii="Times New Roman" w:hAnsi="Times New Roman" w:cs="Times New Roman"/>
          <w:lang w:val="en-GB"/>
        </w:rPr>
        <w:t>为无油无水干净空气。</w:t>
      </w:r>
    </w:p>
    <w:p w14:paraId="2793FF6A">
      <w:pPr>
        <w:pStyle w:val="20"/>
        <w:numPr>
          <w:ilvl w:val="0"/>
          <w:numId w:val="4"/>
        </w:numPr>
        <w:ind w:firstLine="0" w:firstLineChars="0"/>
        <w:rPr>
          <w:rFonts w:ascii="Times New Roman" w:hAnsi="Times New Roman" w:cs="Times New Roman"/>
          <w:lang w:val="en-GB"/>
        </w:rPr>
      </w:pPr>
      <w:r>
        <w:rPr>
          <w:spacing w:val="-4"/>
        </w:rPr>
        <w:t xml:space="preserve">抗震设防烈度等级为 </w:t>
      </w:r>
      <w:r>
        <w:rPr>
          <w:rFonts w:ascii="Calibri" w:eastAsia="Calibri"/>
        </w:rPr>
        <w:t xml:space="preserve">7 </w:t>
      </w:r>
      <w:r>
        <w:rPr>
          <w:spacing w:val="-6"/>
        </w:rPr>
        <w:t xml:space="preserve">级，基本地震加速度值 </w:t>
      </w:r>
      <w:r>
        <w:rPr>
          <w:rFonts w:ascii="Calibri" w:eastAsia="Calibri"/>
        </w:rPr>
        <w:t>0.1g</w:t>
      </w:r>
      <w:r>
        <w:rPr>
          <w:rFonts w:hint="eastAsia"/>
        </w:rPr>
        <w:t>；</w:t>
      </w:r>
    </w:p>
    <w:p w14:paraId="73BA3E87">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库内照明、暖通及公用设施符合有关规范和要求；</w:t>
      </w:r>
    </w:p>
    <w:p w14:paraId="4AFDA3A6">
      <w:pPr>
        <w:pStyle w:val="20"/>
        <w:numPr>
          <w:ilvl w:val="0"/>
          <w:numId w:val="4"/>
        </w:numPr>
        <w:ind w:firstLine="0" w:firstLineChars="0"/>
        <w:rPr>
          <w:rFonts w:ascii="Times New Roman" w:hAnsi="Times New Roman" w:cs="Times New Roman"/>
          <w:lang w:val="en-GB"/>
        </w:rPr>
      </w:pPr>
      <w:r>
        <w:t>消防系统由买方负责，包含与消防相关的任何主体及附属设施（如：消防管路及喷头、</w:t>
      </w:r>
      <w:r>
        <w:rPr>
          <w:spacing w:val="-8"/>
        </w:rPr>
        <w:t>消防安装支架、实层板等</w:t>
      </w:r>
      <w:r>
        <w:rPr>
          <w:spacing w:val="-70"/>
        </w:rPr>
        <w:t>）</w:t>
      </w:r>
      <w:r>
        <w:rPr>
          <w:rFonts w:hint="eastAsia" w:ascii="Times New Roman" w:hAnsi="Times New Roman" w:cs="Times New Roman"/>
          <w:lang w:val="en-GB"/>
        </w:rPr>
        <w:t>。</w:t>
      </w:r>
    </w:p>
    <w:p w14:paraId="7F7BF2A4">
      <w:pPr>
        <w:pStyle w:val="3"/>
        <w:rPr>
          <w:rFonts w:ascii="Times New Roman" w:hAnsi="Times New Roman"/>
        </w:rPr>
      </w:pPr>
      <w:bookmarkStart w:id="38" w:name="_Toc186389147"/>
      <w:bookmarkStart w:id="39" w:name="_Toc16017"/>
      <w:bookmarkStart w:id="40" w:name="_Toc186452596"/>
      <w:r>
        <w:rPr>
          <w:rFonts w:ascii="Times New Roman" w:hAnsi="Times New Roman"/>
        </w:rPr>
        <w:t>基础信息</w:t>
      </w:r>
      <w:bookmarkEnd w:id="38"/>
      <w:bookmarkEnd w:id="39"/>
      <w:bookmarkEnd w:id="40"/>
    </w:p>
    <w:p w14:paraId="51186787">
      <w:pPr>
        <w:pStyle w:val="4"/>
        <w:rPr>
          <w:rFonts w:hint="eastAsia"/>
        </w:rPr>
      </w:pPr>
      <w:bookmarkStart w:id="41" w:name="_Toc186389148"/>
      <w:bookmarkStart w:id="42" w:name="_Toc186452597"/>
      <w:bookmarkStart w:id="43" w:name="_Toc30912"/>
      <w:r>
        <w:t>业务运行数据</w:t>
      </w:r>
      <w:bookmarkEnd w:id="41"/>
      <w:bookmarkEnd w:id="42"/>
      <w:bookmarkEnd w:id="43"/>
    </w:p>
    <w:p w14:paraId="304879E4">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工作天数：2</w:t>
      </w:r>
      <w:r>
        <w:rPr>
          <w:rFonts w:ascii="Times New Roman" w:hAnsi="Times New Roman" w:cs="Times New Roman"/>
          <w:lang w:val="en-GB"/>
        </w:rPr>
        <w:t>45</w:t>
      </w:r>
      <w:r>
        <w:rPr>
          <w:rFonts w:hint="eastAsia" w:ascii="Times New Roman" w:hAnsi="Times New Roman" w:cs="Times New Roman"/>
          <w:lang w:val="en-GB"/>
        </w:rPr>
        <w:t>天</w:t>
      </w:r>
    </w:p>
    <w:p w14:paraId="6778DD1E">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工作时间：</w:t>
      </w:r>
      <w:r>
        <w:rPr>
          <w:rFonts w:ascii="Times New Roman" w:hAnsi="Times New Roman" w:cs="Times New Roman"/>
          <w:lang w:val="en-GB"/>
        </w:rPr>
        <w:t>24</w:t>
      </w:r>
      <w:r>
        <w:rPr>
          <w:rFonts w:hint="eastAsia" w:ascii="Times New Roman" w:hAnsi="Times New Roman" w:cs="Times New Roman"/>
          <w:lang w:val="en-GB"/>
        </w:rPr>
        <w:t>小时/天；</w:t>
      </w:r>
      <w:r>
        <w:rPr>
          <w:rFonts w:ascii="Times New Roman" w:hAnsi="Times New Roman" w:cs="Times New Roman"/>
          <w:lang w:val="en-GB"/>
        </w:rPr>
        <w:t xml:space="preserve"> </w:t>
      </w:r>
    </w:p>
    <w:p w14:paraId="22C7B811">
      <w:pPr>
        <w:pStyle w:val="20"/>
        <w:numPr>
          <w:ilvl w:val="0"/>
          <w:numId w:val="4"/>
        </w:numPr>
        <w:ind w:firstLine="0" w:firstLineChars="0"/>
        <w:rPr>
          <w:rFonts w:ascii="Times New Roman" w:hAnsi="Times New Roman" w:cs="Times New Roman"/>
          <w:lang w:val="en-GB"/>
        </w:rPr>
      </w:pPr>
      <w:r>
        <w:rPr>
          <w:rFonts w:hint="eastAsia" w:ascii="Times New Roman" w:hAnsi="Times New Roman" w:cs="Times New Roman"/>
          <w:lang w:val="en-GB"/>
        </w:rPr>
        <w:t>流量要求：</w:t>
      </w:r>
      <w:r>
        <w:rPr>
          <w:rFonts w:hint="eastAsia" w:ascii="Times New Roman" w:hAnsi="Times New Roman" w:cs="Times New Roman"/>
        </w:rPr>
        <w:t>纸杯单机台12-48箱/H、纸袋单机台12箱/H、无纺布袋单机台12箱/H；</w:t>
      </w:r>
    </w:p>
    <w:p w14:paraId="62ED3ACB">
      <w:pPr>
        <w:pStyle w:val="4"/>
        <w:rPr>
          <w:rFonts w:hint="eastAsia"/>
        </w:rPr>
      </w:pPr>
      <w:bookmarkStart w:id="44" w:name="_Toc186389149"/>
      <w:bookmarkStart w:id="45" w:name="_Toc6314"/>
      <w:bookmarkStart w:id="46" w:name="_Toc186452598"/>
      <w:r>
        <w:t>基础物料单元数据</w:t>
      </w:r>
      <w:bookmarkEnd w:id="44"/>
      <w:bookmarkEnd w:id="45"/>
      <w:bookmarkEnd w:id="46"/>
    </w:p>
    <w:p w14:paraId="41F556B0">
      <w:pPr>
        <w:tabs>
          <w:tab w:val="center" w:pos="4537"/>
        </w:tabs>
        <w:ind w:firstLine="0" w:firstLineChars="0"/>
        <w:jc w:val="left"/>
      </w:pPr>
      <w:r>
        <w:rPr>
          <w:rFonts w:hint="eastAsia"/>
        </w:rPr>
        <w:t>纸箱尺寸：</w:t>
      </w:r>
    </w:p>
    <w:p w14:paraId="7C0B68B6">
      <w:pPr>
        <w:pStyle w:val="14"/>
        <w:jc w:val="center"/>
      </w:pPr>
      <w:r>
        <w:drawing>
          <wp:inline distT="0" distB="0" distL="114300" distR="114300">
            <wp:extent cx="2495550" cy="2218690"/>
            <wp:effectExtent l="0" t="0" r="0"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2495550" cy="2218690"/>
                    </a:xfrm>
                    <a:prstGeom prst="rect">
                      <a:avLst/>
                    </a:prstGeom>
                    <a:noFill/>
                    <a:ln>
                      <a:noFill/>
                    </a:ln>
                  </pic:spPr>
                </pic:pic>
              </a:graphicData>
            </a:graphic>
          </wp:inline>
        </w:drawing>
      </w:r>
    </w:p>
    <w:p w14:paraId="5CBD18F5">
      <w:pPr>
        <w:tabs>
          <w:tab w:val="center" w:pos="4537"/>
        </w:tabs>
        <w:ind w:left="1440" w:hanging="1440" w:hangingChars="600"/>
        <w:jc w:val="left"/>
      </w:pPr>
      <w:r>
        <w:rPr>
          <w:rFonts w:hint="eastAsia"/>
        </w:rPr>
        <w:t>纸杯成型机：L300-500*W250-400*H</w:t>
      </w:r>
      <w:r>
        <w:t>270</w:t>
      </w:r>
      <w:r>
        <w:rPr>
          <w:rFonts w:hint="eastAsia"/>
        </w:rPr>
        <w:t>-700mm</w:t>
      </w:r>
    </w:p>
    <w:p w14:paraId="5D735F2C">
      <w:pPr>
        <w:tabs>
          <w:tab w:val="center" w:pos="4537"/>
        </w:tabs>
        <w:ind w:left="1440" w:hanging="1440" w:hangingChars="600"/>
        <w:jc w:val="left"/>
      </w:pPr>
      <w:r>
        <w:rPr>
          <w:rFonts w:hint="eastAsia"/>
        </w:rPr>
        <w:t>纸袋机：L</w:t>
      </w:r>
      <w:r>
        <w:t>350</w:t>
      </w:r>
      <w:r>
        <w:rPr>
          <w:rFonts w:hint="eastAsia"/>
        </w:rPr>
        <w:t>-500*W2</w:t>
      </w:r>
      <w:r>
        <w:t>3</w:t>
      </w:r>
      <w:r>
        <w:rPr>
          <w:rFonts w:hint="eastAsia"/>
        </w:rPr>
        <w:t>0-650*H</w:t>
      </w:r>
      <w:r>
        <w:t>150</w:t>
      </w:r>
      <w:r>
        <w:rPr>
          <w:rFonts w:hint="eastAsia"/>
        </w:rPr>
        <w:t>-500mm</w:t>
      </w:r>
    </w:p>
    <w:p w14:paraId="2E16F19A">
      <w:pPr>
        <w:tabs>
          <w:tab w:val="center" w:pos="4537"/>
        </w:tabs>
        <w:ind w:left="1440" w:hanging="1440" w:hangingChars="600"/>
        <w:jc w:val="left"/>
      </w:pPr>
      <w:r>
        <w:rPr>
          <w:rFonts w:hint="eastAsia"/>
        </w:rPr>
        <w:t>无纺布机：L</w:t>
      </w:r>
      <w:r>
        <w:t>350</w:t>
      </w:r>
      <w:r>
        <w:rPr>
          <w:rFonts w:hint="eastAsia"/>
        </w:rPr>
        <w:t>-500*W2</w:t>
      </w:r>
      <w:r>
        <w:t>3</w:t>
      </w:r>
      <w:r>
        <w:rPr>
          <w:rFonts w:hint="eastAsia"/>
        </w:rPr>
        <w:t>0-650*H</w:t>
      </w:r>
      <w:r>
        <w:t>150</w:t>
      </w:r>
      <w:r>
        <w:rPr>
          <w:rFonts w:hint="eastAsia"/>
        </w:rPr>
        <w:t>-500mm</w:t>
      </w:r>
    </w:p>
    <w:p w14:paraId="413F79E3">
      <w:pPr>
        <w:pStyle w:val="3"/>
        <w:rPr>
          <w:rFonts w:ascii="Times New Roman" w:hAnsi="Times New Roman"/>
        </w:rPr>
      </w:pPr>
      <w:bookmarkStart w:id="47" w:name="_Toc186452599"/>
      <w:bookmarkStart w:id="48" w:name="_Toc186389150"/>
      <w:bookmarkStart w:id="49" w:name="_Toc276"/>
      <w:bookmarkStart w:id="50" w:name="_Toc12982"/>
      <w:r>
        <w:rPr>
          <w:rFonts w:ascii="Times New Roman" w:hAnsi="Times New Roman"/>
        </w:rPr>
        <w:t>总体布局</w:t>
      </w:r>
      <w:bookmarkEnd w:id="47"/>
      <w:bookmarkEnd w:id="48"/>
      <w:bookmarkEnd w:id="49"/>
      <w:bookmarkEnd w:id="50"/>
    </w:p>
    <w:p w14:paraId="3B33C43E">
      <w:pPr>
        <w:ind w:firstLine="480"/>
        <w:rPr>
          <w:rFonts w:ascii="Times New Roman" w:hAnsi="Times New Roman" w:cs="Times New Roman"/>
        </w:rPr>
      </w:pPr>
      <w:r>
        <w:rPr>
          <w:rFonts w:ascii="Times New Roman" w:hAnsi="Times New Roman" w:cs="Times New Roman"/>
        </w:rPr>
        <w:t>物流系统总体布局详见附件：</w:t>
      </w:r>
      <w:r>
        <w:rPr>
          <w:rFonts w:hint="eastAsia" w:ascii="Times New Roman" w:hAnsi="Times New Roman" w:cs="Times New Roman"/>
        </w:rPr>
        <w:t>物流方案图</w:t>
      </w:r>
      <w:r>
        <w:rPr>
          <w:rFonts w:ascii="Times New Roman" w:hAnsi="Times New Roman" w:cs="Times New Roman"/>
        </w:rPr>
        <w:t>。</w:t>
      </w:r>
    </w:p>
    <w:p w14:paraId="4BFC6300">
      <w:pPr>
        <w:ind w:firstLine="480"/>
      </w:pPr>
      <w:r>
        <w:rPr>
          <w:rFonts w:hint="eastAsia"/>
        </w:rPr>
        <w:t>无纺布、纸袋、纸杯机台厂家完成成品封箱后，由箱式输送线支线汇流至主环线，后经环线分至各码垛位，通过码垛机械手完成成品码垛。本期共10台码垛机械手，最多可兼容40种箱规。</w:t>
      </w:r>
    </w:p>
    <w:p w14:paraId="2C6EE718">
      <w:pPr>
        <w:tabs>
          <w:tab w:val="center" w:pos="4537"/>
        </w:tabs>
        <w:ind w:firstLine="0" w:firstLineChars="0"/>
        <w:jc w:val="center"/>
      </w:pPr>
      <w:r>
        <w:drawing>
          <wp:inline distT="0" distB="0" distL="114300" distR="114300">
            <wp:extent cx="4217670" cy="2999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221494" cy="3002724"/>
                    </a:xfrm>
                    <a:prstGeom prst="rect">
                      <a:avLst/>
                    </a:prstGeom>
                    <a:noFill/>
                    <a:ln>
                      <a:noFill/>
                    </a:ln>
                  </pic:spPr>
                </pic:pic>
              </a:graphicData>
            </a:graphic>
          </wp:inline>
        </w:drawing>
      </w:r>
    </w:p>
    <w:p w14:paraId="35A4535E">
      <w:pPr>
        <w:pStyle w:val="2"/>
        <w:rPr>
          <w:rFonts w:hint="eastAsia"/>
        </w:rPr>
      </w:pPr>
      <w:bookmarkStart w:id="51" w:name="_Toc186389151"/>
      <w:bookmarkStart w:id="52" w:name="_Toc12928"/>
      <w:bookmarkStart w:id="53" w:name="_Toc186452600"/>
      <w:bookmarkStart w:id="54" w:name="_Toc1958"/>
      <w:r>
        <w:t>设备技术方案</w:t>
      </w:r>
      <w:bookmarkEnd w:id="51"/>
      <w:bookmarkEnd w:id="52"/>
      <w:bookmarkEnd w:id="53"/>
      <w:bookmarkEnd w:id="54"/>
    </w:p>
    <w:p w14:paraId="7C1F1A35">
      <w:pPr>
        <w:pStyle w:val="3"/>
        <w:rPr>
          <w:rFonts w:ascii="Times New Roman" w:hAnsi="Times New Roman"/>
        </w:rPr>
      </w:pPr>
      <w:bookmarkStart w:id="55" w:name="_Toc7890"/>
      <w:bookmarkStart w:id="56" w:name="_Toc186452601"/>
      <w:bookmarkStart w:id="57" w:name="_Toc11850"/>
      <w:bookmarkStart w:id="58" w:name="_Toc186389152"/>
      <w:r>
        <w:rPr>
          <w:rFonts w:ascii="Times New Roman" w:hAnsi="Times New Roman"/>
        </w:rPr>
        <w:t>概括说明</w:t>
      </w:r>
      <w:bookmarkEnd w:id="55"/>
      <w:bookmarkEnd w:id="56"/>
      <w:bookmarkEnd w:id="57"/>
      <w:bookmarkEnd w:id="58"/>
    </w:p>
    <w:p w14:paraId="503D5405">
      <w:pPr>
        <w:pStyle w:val="4"/>
        <w:rPr>
          <w:rFonts w:hint="eastAsia"/>
        </w:rPr>
      </w:pPr>
      <w:bookmarkStart w:id="59" w:name="_Toc11748"/>
      <w:bookmarkStart w:id="60" w:name="_Toc186452602"/>
      <w:bookmarkStart w:id="61" w:name="_Toc186389153"/>
      <w:bookmarkStart w:id="62" w:name="_Toc24049"/>
      <w:r>
        <w:t>执行标准</w:t>
      </w:r>
      <w:bookmarkEnd w:id="59"/>
      <w:bookmarkEnd w:id="60"/>
      <w:bookmarkEnd w:id="61"/>
      <w:bookmarkEnd w:id="62"/>
    </w:p>
    <w:p w14:paraId="5BCD2BE4">
      <w:pPr>
        <w:ind w:firstLine="0" w:firstLineChars="0"/>
        <w:rPr>
          <w:rFonts w:ascii="Times New Roman" w:hAnsi="Times New Roman" w:cs="Times New Roman"/>
          <w:lang w:val="en-GB"/>
        </w:rPr>
      </w:pPr>
      <w:r>
        <w:rPr>
          <w:rFonts w:ascii="Times New Roman" w:hAnsi="Times New Roman" w:cs="Times New Roman"/>
          <w:lang w:val="en-GB"/>
        </w:rPr>
        <w:t>本项目中用到的所有设备均执行以下标准和规范：</w:t>
      </w:r>
    </w:p>
    <w:p w14:paraId="6919AF21">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 50057-2010       </w:t>
      </w:r>
      <w:r>
        <w:rPr>
          <w:rFonts w:hint="eastAsia" w:ascii="Times New Roman" w:hAnsi="Times New Roman" w:cs="Times New Roman"/>
          <w:lang w:val="en-GB"/>
        </w:rPr>
        <w:t>建筑物防雷设计规范</w:t>
      </w:r>
    </w:p>
    <w:p w14:paraId="19607502">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 50016-2014       </w:t>
      </w:r>
      <w:r>
        <w:rPr>
          <w:rFonts w:hint="eastAsia" w:ascii="Times New Roman" w:hAnsi="Times New Roman" w:cs="Times New Roman"/>
          <w:lang w:val="en-GB"/>
        </w:rPr>
        <w:t>建筑设计防火规范</w:t>
      </w:r>
    </w:p>
    <w:p w14:paraId="24759669">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GB/T 50087-2013     </w:t>
      </w:r>
      <w:r>
        <w:rPr>
          <w:rFonts w:hint="eastAsia" w:ascii="Times New Roman" w:hAnsi="Times New Roman" w:cs="Times New Roman"/>
          <w:lang w:val="en-GB"/>
        </w:rPr>
        <w:t>工业企业噪声控制设计规范</w:t>
      </w:r>
    </w:p>
    <w:p w14:paraId="4E17F4F6">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GB50176-2016        </w:t>
      </w:r>
      <w:r>
        <w:rPr>
          <w:rFonts w:hint="eastAsia" w:ascii="Times New Roman" w:hAnsi="Times New Roman" w:cs="Times New Roman"/>
          <w:lang w:val="en-GB"/>
        </w:rPr>
        <w:t>民用建筑热工设计规范</w:t>
      </w:r>
      <w:bookmarkStart w:id="412" w:name="_GoBack"/>
      <w:bookmarkEnd w:id="412"/>
    </w:p>
    <w:p w14:paraId="081D71C3">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 GB/T 50065-2011     </w:t>
      </w:r>
      <w:r>
        <w:rPr>
          <w:rFonts w:hint="eastAsia" w:ascii="Times New Roman" w:hAnsi="Times New Roman" w:cs="Times New Roman"/>
          <w:lang w:val="en-GB"/>
        </w:rPr>
        <w:t>交流电气装置的接地设计规范</w:t>
      </w:r>
    </w:p>
    <w:p w14:paraId="6CA20AFF">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 </w:t>
      </w:r>
    </w:p>
    <w:p w14:paraId="1F8CCB94">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 50093-2013        </w:t>
      </w:r>
      <w:r>
        <w:rPr>
          <w:rFonts w:hint="eastAsia" w:ascii="Times New Roman" w:hAnsi="Times New Roman" w:cs="Times New Roman"/>
          <w:lang w:val="en-GB"/>
        </w:rPr>
        <w:t>自动化仪表工程施工及验收规范</w:t>
      </w:r>
    </w:p>
    <w:p w14:paraId="776AB8D1">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GB/T 25295-2010</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 xml:space="preserve">      </w:t>
      </w:r>
      <w:r>
        <w:rPr>
          <w:rFonts w:hint="eastAsia" w:ascii="Times New Roman" w:hAnsi="Times New Roman" w:cs="Times New Roman"/>
          <w:lang w:val="en-GB"/>
        </w:rPr>
        <w:t>电气设备安全设计导则</w:t>
      </w:r>
      <w:r>
        <w:rPr>
          <w:rFonts w:ascii="Times New Roman" w:hAnsi="Times New Roman" w:cs="Times New Roman"/>
          <w:lang w:val="en-GB"/>
        </w:rPr>
        <w:t xml:space="preserve"> </w:t>
      </w:r>
    </w:p>
    <w:p w14:paraId="544111C7">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GB 50055-2011</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 xml:space="preserve">        </w:t>
      </w:r>
      <w:r>
        <w:rPr>
          <w:rFonts w:hint="eastAsia" w:ascii="Times New Roman" w:hAnsi="Times New Roman" w:cs="Times New Roman"/>
          <w:lang w:val="en-GB"/>
        </w:rPr>
        <w:t>通用用电设备配电设计规范</w:t>
      </w:r>
    </w:p>
    <w:p w14:paraId="5F53CFD7">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 T/CECS 31-2017       </w:t>
      </w:r>
      <w:r>
        <w:rPr>
          <w:rFonts w:hint="eastAsia" w:ascii="Times New Roman" w:hAnsi="Times New Roman" w:cs="Times New Roman"/>
          <w:lang w:val="en-GB"/>
        </w:rPr>
        <w:t>钢制电缆桥架工程设计规范</w:t>
      </w:r>
    </w:p>
    <w:p w14:paraId="2D594F10">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GB50217-2018         </w:t>
      </w:r>
      <w:r>
        <w:rPr>
          <w:rFonts w:hint="eastAsia" w:ascii="Times New Roman" w:hAnsi="Times New Roman" w:cs="Times New Roman"/>
          <w:lang w:val="en-GB"/>
        </w:rPr>
        <w:t>电力工程电缆设计规范</w:t>
      </w:r>
    </w:p>
    <w:p w14:paraId="563AD820">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GB/T 50062-2008       </w:t>
      </w:r>
      <w:r>
        <w:rPr>
          <w:rFonts w:hint="eastAsia" w:ascii="Times New Roman" w:hAnsi="Times New Roman" w:cs="Times New Roman"/>
          <w:lang w:val="en-GB"/>
        </w:rPr>
        <w:t>电力装置的继电保护和自动装置设计规范</w:t>
      </w:r>
    </w:p>
    <w:p w14:paraId="2A82301F">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GA/T75-1994          </w:t>
      </w:r>
      <w:r>
        <w:rPr>
          <w:rFonts w:hint="eastAsia" w:ascii="Times New Roman" w:hAnsi="Times New Roman" w:cs="Times New Roman"/>
          <w:lang w:val="en-GB"/>
        </w:rPr>
        <w:t>安全防范工程程序与要求</w:t>
      </w:r>
    </w:p>
    <w:p w14:paraId="5F7CEFB3">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GB 8567</w:t>
      </w:r>
      <w:r>
        <w:rPr>
          <w:rFonts w:hint="eastAsia" w:ascii="Times New Roman" w:hAnsi="Times New Roman" w:cs="Times New Roman"/>
          <w:lang w:val="en-GB"/>
        </w:rPr>
        <w:t>－</w:t>
      </w:r>
      <w:r>
        <w:rPr>
          <w:rFonts w:ascii="Times New Roman" w:hAnsi="Times New Roman" w:cs="Times New Roman"/>
          <w:lang w:val="en-GB"/>
        </w:rPr>
        <w:t xml:space="preserve">2006        </w:t>
      </w:r>
      <w:r>
        <w:rPr>
          <w:rFonts w:hint="eastAsia" w:ascii="Times New Roman" w:hAnsi="Times New Roman" w:cs="Times New Roman"/>
          <w:lang w:val="en-GB"/>
        </w:rPr>
        <w:t>计算机软件产品开发文件编制指南</w:t>
      </w:r>
    </w:p>
    <w:p w14:paraId="57048915">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 </w:t>
      </w:r>
      <w:r>
        <w:rPr>
          <w:rFonts w:hint="eastAsia" w:ascii="Times New Roman" w:hAnsi="Times New Roman" w:cs="Times New Roman"/>
          <w:lang w:val="en-GB"/>
        </w:rPr>
        <w:t>GB/T 8566-2022</w:t>
      </w:r>
      <w:r>
        <w:rPr>
          <w:rFonts w:ascii="Times New Roman" w:hAnsi="Times New Roman" w:cs="Times New Roman"/>
          <w:lang w:val="en-GB"/>
        </w:rPr>
        <w:t xml:space="preserve">       </w:t>
      </w:r>
      <w:r>
        <w:rPr>
          <w:rFonts w:hint="eastAsia" w:ascii="Times New Roman" w:hAnsi="Times New Roman" w:cs="Times New Roman"/>
          <w:lang w:val="en-GB"/>
        </w:rPr>
        <w:t>系统与软件工程 软件生存周期过程</w:t>
      </w:r>
    </w:p>
    <w:p w14:paraId="640BC969">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GB</w:t>
      </w:r>
      <w:r>
        <w:rPr>
          <w:rFonts w:hint="eastAsia" w:ascii="Times New Roman" w:hAnsi="Times New Roman" w:cs="Times New Roman"/>
          <w:lang w:val="en-GB"/>
        </w:rPr>
        <w:t>/</w:t>
      </w:r>
      <w:r>
        <w:rPr>
          <w:rFonts w:ascii="Times New Roman" w:hAnsi="Times New Roman" w:cs="Times New Roman"/>
          <w:lang w:val="en-GB"/>
        </w:rPr>
        <w:t xml:space="preserve">T 15532-2008       </w:t>
      </w:r>
      <w:r>
        <w:rPr>
          <w:rFonts w:hint="eastAsia" w:ascii="Times New Roman" w:hAnsi="Times New Roman" w:cs="Times New Roman"/>
          <w:lang w:val="en-GB"/>
        </w:rPr>
        <w:t>计算机软件单元测试</w:t>
      </w:r>
    </w:p>
    <w:p w14:paraId="333AB8BB">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GB/T 9385-2008        </w:t>
      </w:r>
      <w:r>
        <w:rPr>
          <w:rFonts w:hint="eastAsia" w:ascii="Times New Roman" w:hAnsi="Times New Roman" w:cs="Times New Roman"/>
          <w:lang w:val="en-GB"/>
        </w:rPr>
        <w:t>计算机软件需求说明编制指南</w:t>
      </w:r>
    </w:p>
    <w:p w14:paraId="6ECDB3E0">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GB/T 9386-2008        </w:t>
      </w:r>
      <w:r>
        <w:rPr>
          <w:rFonts w:hint="eastAsia" w:ascii="Times New Roman" w:hAnsi="Times New Roman" w:cs="Times New Roman"/>
          <w:lang w:val="en-GB"/>
        </w:rPr>
        <w:t>计算机软件测试文件编制规范</w:t>
      </w:r>
    </w:p>
    <w:p w14:paraId="647A7F53">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 GB/T 25000.10-2016   </w:t>
      </w:r>
      <w:r>
        <w:rPr>
          <w:rFonts w:hint="eastAsia" w:ascii="Times New Roman" w:hAnsi="Times New Roman" w:cs="Times New Roman"/>
          <w:lang w:val="en-GB"/>
        </w:rPr>
        <w:t>系统与软件工程 系统与软件质量要求和评价（SQuaRE） 第10部分：系统与软件质量模型</w:t>
      </w:r>
    </w:p>
    <w:p w14:paraId="4A73832B">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GB50278-2010</w:t>
      </w:r>
      <w:r>
        <w:rPr>
          <w:rFonts w:ascii="Times New Roman" w:hAnsi="Times New Roman" w:cs="Times New Roman"/>
          <w:lang w:val="en-GB"/>
        </w:rPr>
        <w:tab/>
      </w:r>
      <w:r>
        <w:rPr>
          <w:rFonts w:ascii="Times New Roman" w:hAnsi="Times New Roman" w:cs="Times New Roman"/>
          <w:lang w:val="en-GB"/>
        </w:rPr>
        <w:t xml:space="preserve">         </w:t>
      </w:r>
      <w:r>
        <w:rPr>
          <w:rFonts w:hint="eastAsia" w:ascii="Times New Roman" w:hAnsi="Times New Roman" w:cs="Times New Roman"/>
          <w:lang w:val="en-GB"/>
        </w:rPr>
        <w:t>起重设备安装工程施工及验收规范</w:t>
      </w:r>
      <w:r>
        <w:rPr>
          <w:rFonts w:ascii="Times New Roman" w:hAnsi="Times New Roman" w:cs="Times New Roman"/>
          <w:lang w:val="en-GB"/>
        </w:rPr>
        <w:tab/>
      </w:r>
    </w:p>
    <w:p w14:paraId="4C7BF7AA">
      <w:pPr>
        <w:numPr>
          <w:ilvl w:val="0"/>
          <w:numId w:val="5"/>
        </w:numPr>
        <w:ind w:left="0" w:firstLine="0" w:firstLineChars="0"/>
        <w:rPr>
          <w:rFonts w:ascii="Times New Roman" w:hAnsi="Times New Roman" w:cs="Times New Roman"/>
          <w:lang w:val="en-GB"/>
        </w:rPr>
      </w:pPr>
      <w:r>
        <w:rPr>
          <w:rFonts w:ascii="Times New Roman" w:hAnsi="Times New Roman" w:cs="Times New Roman"/>
          <w:lang w:val="en-GB"/>
        </w:rPr>
        <w:t xml:space="preserve">GB50168- 2018        </w:t>
      </w:r>
      <w:r>
        <w:rPr>
          <w:rFonts w:hint="eastAsia" w:ascii="Times New Roman" w:hAnsi="Times New Roman" w:cs="Times New Roman"/>
          <w:lang w:val="en-GB"/>
        </w:rPr>
        <w:t>电气装置安装工程电缆线路施工及验收规范</w:t>
      </w:r>
    </w:p>
    <w:p w14:paraId="4AD915F1">
      <w:pPr>
        <w:pStyle w:val="4"/>
        <w:rPr>
          <w:rFonts w:hint="eastAsia"/>
        </w:rPr>
      </w:pPr>
      <w:bookmarkStart w:id="63" w:name="_Toc26740"/>
      <w:bookmarkStart w:id="64" w:name="_Toc186452603"/>
      <w:bookmarkStart w:id="65" w:name="_Toc30089"/>
      <w:bookmarkStart w:id="66" w:name="_Toc186389154"/>
      <w:r>
        <w:t>通用要求</w:t>
      </w:r>
      <w:bookmarkEnd w:id="63"/>
      <w:bookmarkEnd w:id="64"/>
      <w:bookmarkEnd w:id="65"/>
      <w:bookmarkEnd w:id="66"/>
    </w:p>
    <w:p w14:paraId="052B8895">
      <w:pPr>
        <w:ind w:firstLine="0" w:firstLineChars="0"/>
        <w:rPr>
          <w:rFonts w:ascii="Times New Roman" w:hAnsi="Times New Roman" w:cs="Times New Roman"/>
          <w:lang w:val="en-GB"/>
        </w:rPr>
      </w:pPr>
      <w:r>
        <w:rPr>
          <w:rFonts w:ascii="Times New Roman" w:hAnsi="Times New Roman" w:cs="Times New Roman"/>
          <w:lang w:val="en-GB"/>
        </w:rPr>
        <w:t>（1）各项机电设备需提供最大外形尺寸及单机质量，包装尺寸及运输条件。输送设备等提供外形尺寸偏差、对角线偏差等数据。</w:t>
      </w:r>
    </w:p>
    <w:p w14:paraId="72238149">
      <w:pPr>
        <w:ind w:firstLine="0" w:firstLineChars="0"/>
        <w:rPr>
          <w:rFonts w:ascii="Times New Roman" w:hAnsi="Times New Roman" w:cs="Times New Roman"/>
          <w:lang w:val="en-GB"/>
        </w:rPr>
      </w:pPr>
      <w:r>
        <w:rPr>
          <w:rFonts w:ascii="Times New Roman" w:hAnsi="Times New Roman" w:cs="Times New Roman"/>
          <w:lang w:val="en-GB"/>
        </w:rPr>
        <w:t>（2）各项机电设备须提供噪声指标（含空载、负载、系统），及引用标准和测试方法，提供系统全部运载时的噪声标准，测试方法和测量仪的安装部位，还应提供主要设备如堆垛机的噪声指标。</w:t>
      </w:r>
    </w:p>
    <w:p w14:paraId="5723C075">
      <w:pPr>
        <w:ind w:firstLine="0" w:firstLineChars="0"/>
        <w:rPr>
          <w:rFonts w:ascii="Times New Roman" w:hAnsi="Times New Roman" w:cs="Times New Roman"/>
          <w:lang w:val="en-GB"/>
        </w:rPr>
      </w:pPr>
      <w:r>
        <w:rPr>
          <w:rFonts w:ascii="Times New Roman" w:hAnsi="Times New Roman" w:cs="Times New Roman"/>
          <w:lang w:val="en-GB"/>
        </w:rPr>
        <w:t>（3）机上布线应内置不得外露，与电气设备或器件的连接要有合适的接头过渡。电缆应有合适的保护措施，在空中穿越的电缆必须走桥架或穿管；在电缆穿出桥架或穿管时，要有合适的接头过渡。所有桥架、穿管和接头要保证美观，不影响设备的整体视觉效果。</w:t>
      </w:r>
    </w:p>
    <w:p w14:paraId="119B3AEC">
      <w:pPr>
        <w:pStyle w:val="4"/>
        <w:rPr>
          <w:rFonts w:hint="eastAsia"/>
        </w:rPr>
      </w:pPr>
      <w:bookmarkStart w:id="67" w:name="_Toc12280"/>
      <w:bookmarkStart w:id="68" w:name="_Toc11581"/>
      <w:bookmarkStart w:id="69" w:name="_Toc186452604"/>
      <w:bookmarkStart w:id="70" w:name="_Toc186389155"/>
      <w:r>
        <w:t>设备外观要求</w:t>
      </w:r>
      <w:bookmarkEnd w:id="67"/>
      <w:bookmarkEnd w:id="68"/>
      <w:bookmarkEnd w:id="69"/>
      <w:bookmarkEnd w:id="70"/>
    </w:p>
    <w:p w14:paraId="0B30313A">
      <w:pPr>
        <w:ind w:firstLine="0" w:firstLineChars="0"/>
        <w:rPr>
          <w:rFonts w:ascii="Times New Roman" w:hAnsi="Times New Roman" w:cs="Times New Roman"/>
          <w:lang w:val="en-GB"/>
        </w:rPr>
      </w:pPr>
      <w:r>
        <w:rPr>
          <w:rFonts w:ascii="Times New Roman" w:hAnsi="Times New Roman" w:cs="Times New Roman"/>
          <w:lang w:val="en-GB"/>
        </w:rPr>
        <w:t>（1）设备上的金属外露表面，除不锈材料或铝材外，均应有油漆或其他涂层保护。涂层下的金属表面须经除锈处理，表面经脱脂、酸洗、磷化然后再涂覆。若采用静电喷涂，涂料采用热固环氧树脂（粉状），涂层厚度60μm，其质量均按GB61007-86《非铝材涂装标准》。若采用油漆应不少于三道（一道底漆，二道面漆）。</w:t>
      </w:r>
    </w:p>
    <w:p w14:paraId="52DD281B">
      <w:pPr>
        <w:ind w:firstLine="0" w:firstLineChars="0"/>
        <w:rPr>
          <w:rFonts w:ascii="Times New Roman" w:hAnsi="Times New Roman" w:cs="Times New Roman"/>
          <w:lang w:val="en-GB"/>
        </w:rPr>
      </w:pPr>
      <w:r>
        <w:rPr>
          <w:rFonts w:ascii="Times New Roman" w:hAnsi="Times New Roman" w:cs="Times New Roman"/>
          <w:lang w:val="en-GB"/>
        </w:rPr>
        <w:t>（2）所有涂层、不锈材料和铝材，表面色泽均匀一致、无明显花斑、麻点、划痕、磨具拉痕和粗糙不平等缺陷、手感要好。</w:t>
      </w:r>
    </w:p>
    <w:p w14:paraId="095869D4">
      <w:pPr>
        <w:ind w:firstLine="0" w:firstLineChars="0"/>
        <w:rPr>
          <w:rFonts w:ascii="Times New Roman" w:hAnsi="Times New Roman" w:cs="Times New Roman"/>
          <w:lang w:val="en-GB"/>
        </w:rPr>
      </w:pPr>
      <w:r>
        <w:rPr>
          <w:rFonts w:ascii="Times New Roman" w:hAnsi="Times New Roman" w:cs="Times New Roman"/>
          <w:lang w:val="en-GB"/>
        </w:rPr>
        <w:t>（3）铝材拉制后应进行水喷沙处理、再进行阳极氧化，其厚度不小于10μm。执行国标GB10014-87(ISO 2164-19100)《宽带式砂光机制造与验收技术条件》；</w:t>
      </w:r>
    </w:p>
    <w:p w14:paraId="1FE0B193">
      <w:pPr>
        <w:ind w:firstLine="0" w:firstLineChars="0"/>
        <w:rPr>
          <w:rFonts w:ascii="Times New Roman" w:hAnsi="Times New Roman" w:cs="Times New Roman"/>
          <w:lang w:val="en-GB"/>
        </w:rPr>
      </w:pPr>
      <w:r>
        <w:rPr>
          <w:rFonts w:ascii="Times New Roman" w:hAnsi="Times New Roman" w:cs="Times New Roman"/>
          <w:lang w:val="en-GB"/>
        </w:rPr>
        <w:t>（4）设备颜色</w:t>
      </w:r>
      <w:r>
        <w:rPr>
          <w:rFonts w:hint="eastAsia" w:ascii="Times New Roman" w:hAnsi="Times New Roman" w:cs="Times New Roman"/>
        </w:rPr>
        <w:t>根据甲方提供色板制作</w:t>
      </w:r>
      <w:r>
        <w:rPr>
          <w:rFonts w:ascii="Times New Roman" w:hAnsi="Times New Roman" w:cs="Times New Roman"/>
          <w:lang w:val="en-GB"/>
        </w:rPr>
        <w:t>；</w:t>
      </w:r>
    </w:p>
    <w:p w14:paraId="0A0919CA">
      <w:pPr>
        <w:ind w:firstLine="0" w:firstLineChars="0"/>
        <w:rPr>
          <w:rFonts w:ascii="Times New Roman" w:hAnsi="Times New Roman" w:cs="Times New Roman"/>
          <w:lang w:val="en-GB"/>
        </w:rPr>
      </w:pPr>
      <w:r>
        <w:rPr>
          <w:rFonts w:ascii="Times New Roman" w:hAnsi="Times New Roman" w:cs="Times New Roman"/>
          <w:lang w:val="en-GB"/>
        </w:rPr>
        <w:t>（5）各项机电设备上的运动部件和运动的设备必须有安全保护措施，所设置的防护罩和防护栏应有醒目的颜色标志，且应与整体设备协调；</w:t>
      </w:r>
    </w:p>
    <w:p w14:paraId="1A2F1581">
      <w:pPr>
        <w:ind w:firstLine="0" w:firstLineChars="0"/>
        <w:rPr>
          <w:rFonts w:ascii="Times New Roman" w:hAnsi="Times New Roman" w:cs="Times New Roman"/>
          <w:lang w:val="en-GB"/>
        </w:rPr>
      </w:pPr>
      <w:r>
        <w:rPr>
          <w:rFonts w:ascii="Times New Roman" w:hAnsi="Times New Roman" w:cs="Times New Roman"/>
          <w:lang w:val="en-GB"/>
        </w:rPr>
        <w:t>（6）机械设备、电气设备及各分系统、各单机上的配套件选型，应协调统一。</w:t>
      </w:r>
    </w:p>
    <w:p w14:paraId="1B58B568">
      <w:pPr>
        <w:ind w:firstLine="0" w:firstLineChars="0"/>
        <w:rPr>
          <w:rFonts w:ascii="Times New Roman" w:hAnsi="Times New Roman" w:cs="Times New Roman"/>
          <w:lang w:val="en-GB"/>
        </w:rPr>
      </w:pPr>
      <w:r>
        <w:rPr>
          <w:rFonts w:ascii="Times New Roman" w:hAnsi="Times New Roman" w:cs="Times New Roman"/>
          <w:lang w:val="en-GB"/>
        </w:rPr>
        <w:t>（7）整机和各部件的外观表面没有超出图纸规定的凸起、凹陷、翘曲、歪斜等缺陷；</w:t>
      </w:r>
    </w:p>
    <w:p w14:paraId="35340B75">
      <w:pPr>
        <w:ind w:firstLine="0" w:firstLineChars="0"/>
        <w:rPr>
          <w:rFonts w:ascii="Times New Roman" w:hAnsi="Times New Roman" w:cs="Times New Roman"/>
          <w:lang w:val="en-GB"/>
        </w:rPr>
      </w:pPr>
      <w:r>
        <w:rPr>
          <w:rFonts w:ascii="Times New Roman" w:hAnsi="Times New Roman" w:cs="Times New Roman"/>
          <w:lang w:val="en-GB"/>
        </w:rPr>
        <w:t>（8）各焊接物件的外观焊缝以及性能焊缝均打磨平整光滑，清除焊渣、焊瘤、飞溅物；</w:t>
      </w:r>
    </w:p>
    <w:p w14:paraId="28A85595">
      <w:pPr>
        <w:ind w:firstLine="0" w:firstLineChars="0"/>
        <w:rPr>
          <w:rFonts w:ascii="Times New Roman" w:hAnsi="Times New Roman" w:cs="Times New Roman"/>
          <w:lang w:val="en-GB"/>
        </w:rPr>
      </w:pPr>
      <w:r>
        <w:rPr>
          <w:rFonts w:ascii="Times New Roman" w:hAnsi="Times New Roman" w:cs="Times New Roman"/>
          <w:lang w:val="en-GB"/>
        </w:rPr>
        <w:t>（9）外观覆盖件、透明件无毛刺、铁锈、型砂、焊渣、切屑、油污等物，无碰伤、划伤、拉毛等痕迹；</w:t>
      </w:r>
    </w:p>
    <w:p w14:paraId="5CE7F2F1">
      <w:pPr>
        <w:ind w:firstLine="0" w:firstLineChars="0"/>
        <w:rPr>
          <w:rFonts w:ascii="Times New Roman" w:hAnsi="Times New Roman" w:cs="Times New Roman"/>
          <w:lang w:val="en-GB"/>
        </w:rPr>
      </w:pPr>
      <w:r>
        <w:rPr>
          <w:rFonts w:ascii="Times New Roman" w:hAnsi="Times New Roman" w:cs="Times New Roman"/>
          <w:lang w:val="en-GB"/>
        </w:rPr>
        <w:t>（10）电镀件及表面经化学处理的零件色泽均匀，附着严密，无剥落、露底、鼓泡及明显花斑；</w:t>
      </w:r>
    </w:p>
    <w:p w14:paraId="49600222">
      <w:pPr>
        <w:ind w:firstLine="0" w:firstLineChars="0"/>
        <w:rPr>
          <w:rFonts w:ascii="Times New Roman" w:hAnsi="Times New Roman" w:cs="Times New Roman"/>
          <w:lang w:val="en-GB"/>
        </w:rPr>
      </w:pPr>
      <w:r>
        <w:rPr>
          <w:rFonts w:ascii="Times New Roman" w:hAnsi="Times New Roman" w:cs="Times New Roman"/>
          <w:lang w:val="en-GB"/>
        </w:rPr>
        <w:t>（11）涂装前涂漆表面无锈蚀或污物，涂层表面应均匀、光亮、色泽一致，不允许有起泡、脱落、开裂、皱皮、外来杂质及其他降低保护和装饰性的显著污物。</w:t>
      </w:r>
    </w:p>
    <w:p w14:paraId="033EB27D">
      <w:pPr>
        <w:ind w:firstLine="0" w:firstLineChars="0"/>
        <w:rPr>
          <w:rFonts w:ascii="Times New Roman" w:hAnsi="Times New Roman" w:cs="Times New Roman"/>
          <w:lang w:val="en-GB"/>
        </w:rPr>
      </w:pPr>
      <w:r>
        <w:rPr>
          <w:rFonts w:ascii="Times New Roman" w:hAnsi="Times New Roman" w:cs="Times New Roman"/>
          <w:lang w:val="en-GB"/>
        </w:rPr>
        <w:t>（12）不锈钢件凡经焊接处，均需施以酸洗或砂轮磨平后，以砂布轮研磨；</w:t>
      </w:r>
    </w:p>
    <w:p w14:paraId="17521A9D">
      <w:pPr>
        <w:ind w:firstLine="0" w:firstLineChars="0"/>
        <w:rPr>
          <w:rFonts w:ascii="Times New Roman" w:hAnsi="Times New Roman" w:cs="Times New Roman"/>
          <w:lang w:val="en-GB"/>
        </w:rPr>
      </w:pPr>
      <w:r>
        <w:rPr>
          <w:rFonts w:ascii="Times New Roman" w:hAnsi="Times New Roman" w:cs="Times New Roman"/>
          <w:lang w:val="en-GB"/>
        </w:rPr>
        <w:t>（13）所有桥架、穿管和接头要保证美观，不影响设备的整体视觉效果；</w:t>
      </w:r>
    </w:p>
    <w:p w14:paraId="43D3AB2A">
      <w:pPr>
        <w:ind w:firstLine="0" w:firstLineChars="0"/>
        <w:rPr>
          <w:rFonts w:ascii="Times New Roman" w:hAnsi="Times New Roman" w:cs="Times New Roman"/>
          <w:lang w:val="en-GB"/>
        </w:rPr>
      </w:pPr>
      <w:r>
        <w:rPr>
          <w:rFonts w:ascii="Times New Roman" w:hAnsi="Times New Roman" w:cs="Times New Roman"/>
          <w:lang w:val="en-GB"/>
        </w:rPr>
        <w:t>（14）所有设备应提高可维修性，拆卸电机、变速箱等部件需有足够的操作空间，加油部位能够顺利操作，传动电机的端面需加防止轴向、串动的螺钉、止动垫圈和保护罩防止因机械振动等非人为因素导致的位移、松脱；</w:t>
      </w:r>
    </w:p>
    <w:p w14:paraId="2A5A4898">
      <w:pPr>
        <w:ind w:firstLine="0" w:firstLineChars="0"/>
        <w:rPr>
          <w:rFonts w:ascii="Times New Roman" w:hAnsi="Times New Roman" w:cs="Times New Roman"/>
          <w:lang w:val="en-GB"/>
        </w:rPr>
      </w:pPr>
      <w:r>
        <w:rPr>
          <w:rFonts w:ascii="Times New Roman" w:hAnsi="Times New Roman" w:cs="Times New Roman"/>
          <w:lang w:val="en-GB"/>
        </w:rPr>
        <w:t>（15）危险或离地高处设置安全护栏；</w:t>
      </w:r>
    </w:p>
    <w:p w14:paraId="649FBCFE">
      <w:pPr>
        <w:ind w:firstLine="0" w:firstLineChars="0"/>
        <w:rPr>
          <w:rFonts w:ascii="Times New Roman" w:hAnsi="Times New Roman" w:cs="Times New Roman"/>
          <w:lang w:val="en-GB"/>
        </w:rPr>
      </w:pPr>
      <w:r>
        <w:rPr>
          <w:rFonts w:ascii="Times New Roman" w:hAnsi="Times New Roman" w:cs="Times New Roman"/>
          <w:lang w:val="en-GB"/>
        </w:rPr>
        <w:t>（16）外露的马达、齿轮、传动链条等传动机构，需有适当的护盖保护。</w:t>
      </w:r>
    </w:p>
    <w:p w14:paraId="5F224AF1">
      <w:pPr>
        <w:pStyle w:val="3"/>
        <w:rPr>
          <w:rFonts w:ascii="Times New Roman" w:hAnsi="Times New Roman"/>
        </w:rPr>
      </w:pPr>
      <w:bookmarkStart w:id="71" w:name="_Toc18931"/>
      <w:bookmarkStart w:id="72" w:name="_Toc21160"/>
      <w:bookmarkStart w:id="73" w:name="_Toc186452605"/>
      <w:bookmarkStart w:id="74" w:name="_Toc186389156"/>
      <w:r>
        <w:rPr>
          <w:rFonts w:ascii="Times New Roman" w:hAnsi="Times New Roman"/>
        </w:rPr>
        <w:t>输送机</w:t>
      </w:r>
      <w:bookmarkEnd w:id="71"/>
      <w:bookmarkEnd w:id="72"/>
      <w:bookmarkEnd w:id="73"/>
      <w:bookmarkEnd w:id="74"/>
    </w:p>
    <w:p w14:paraId="41A1E441">
      <w:pPr>
        <w:pStyle w:val="4"/>
        <w:rPr>
          <w:rFonts w:hint="eastAsia"/>
          <w:lang w:val="en-US"/>
        </w:rPr>
      </w:pPr>
      <w:bookmarkStart w:id="75" w:name="_Toc21381"/>
      <w:bookmarkStart w:id="76" w:name="_Toc31070"/>
      <w:bookmarkStart w:id="77" w:name="_Toc186452606"/>
      <w:bookmarkStart w:id="78" w:name="_Toc186389157"/>
      <w:r>
        <w:rPr>
          <w:rFonts w:hint="eastAsia"/>
          <w:lang w:val="en-US"/>
        </w:rPr>
        <w:t>辊筒</w:t>
      </w:r>
      <w:r>
        <w:rPr>
          <w:lang w:val="en-US"/>
        </w:rPr>
        <w:t>输送机</w:t>
      </w:r>
      <w:bookmarkEnd w:id="75"/>
      <w:bookmarkEnd w:id="76"/>
      <w:bookmarkEnd w:id="77"/>
      <w:bookmarkEnd w:id="78"/>
    </w:p>
    <w:p w14:paraId="7ABE703F">
      <w:pPr>
        <w:ind w:firstLine="480"/>
        <w:jc w:val="center"/>
      </w:pPr>
      <w:r>
        <w:drawing>
          <wp:inline distT="0" distB="0" distL="0" distR="0">
            <wp:extent cx="3039745" cy="1993900"/>
            <wp:effectExtent l="0" t="0" r="8255" b="635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6"/>
                    <a:stretch>
                      <a:fillRect/>
                    </a:stretch>
                  </pic:blipFill>
                  <pic:spPr>
                    <a:xfrm>
                      <a:off x="0" y="0"/>
                      <a:ext cx="3042673" cy="1995762"/>
                    </a:xfrm>
                    <a:prstGeom prst="rect">
                      <a:avLst/>
                    </a:prstGeom>
                    <a:noFill/>
                    <a:ln w="9525">
                      <a:noFill/>
                    </a:ln>
                  </pic:spPr>
                </pic:pic>
              </a:graphicData>
            </a:graphic>
          </wp:inline>
        </w:drawing>
      </w:r>
    </w:p>
    <w:p w14:paraId="76E50A88">
      <w:pPr>
        <w:ind w:firstLine="420"/>
        <w:jc w:val="center"/>
        <w:rPr>
          <w:sz w:val="21"/>
          <w:szCs w:val="21"/>
        </w:rPr>
      </w:pPr>
      <w:r>
        <w:rPr>
          <w:rFonts w:hint="eastAsia"/>
          <w:sz w:val="21"/>
          <w:szCs w:val="21"/>
        </w:rPr>
        <w:t>示意图，以最终设计为准</w:t>
      </w:r>
    </w:p>
    <w:tbl>
      <w:tblPr>
        <w:tblStyle w:val="15"/>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3722"/>
        <w:gridCol w:w="3989"/>
      </w:tblGrid>
      <w:tr w14:paraId="61D6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BD2081B">
            <w:pPr>
              <w:pStyle w:val="23"/>
              <w:spacing w:line="276" w:lineRule="auto"/>
            </w:pPr>
            <w:r>
              <w:rPr>
                <w:rFonts w:hint="eastAsia"/>
              </w:rPr>
              <w:t>编号</w:t>
            </w:r>
          </w:p>
        </w:tc>
        <w:tc>
          <w:tcPr>
            <w:tcW w:w="2189" w:type="pct"/>
            <w:tcBorders>
              <w:top w:val="single" w:color="auto" w:sz="4" w:space="0"/>
              <w:left w:val="single" w:color="auto" w:sz="4" w:space="0"/>
              <w:bottom w:val="single" w:color="auto" w:sz="4" w:space="0"/>
              <w:right w:val="single" w:color="auto" w:sz="4" w:space="0"/>
            </w:tcBorders>
            <w:shd w:val="clear" w:color="auto" w:fill="auto"/>
          </w:tcPr>
          <w:p w14:paraId="538DC1A9">
            <w:pPr>
              <w:pStyle w:val="23"/>
              <w:spacing w:line="276" w:lineRule="auto"/>
            </w:pPr>
            <w:r>
              <w:rPr>
                <w:rFonts w:hint="eastAsia"/>
              </w:rPr>
              <w:t>项目</w:t>
            </w:r>
          </w:p>
        </w:tc>
        <w:tc>
          <w:tcPr>
            <w:tcW w:w="2346" w:type="pct"/>
            <w:tcBorders>
              <w:top w:val="single" w:color="auto" w:sz="4" w:space="0"/>
              <w:left w:val="single" w:color="auto" w:sz="4" w:space="0"/>
              <w:bottom w:val="single" w:color="auto" w:sz="4" w:space="0"/>
              <w:right w:val="single" w:color="auto" w:sz="4" w:space="0"/>
            </w:tcBorders>
            <w:shd w:val="clear" w:color="auto" w:fill="auto"/>
          </w:tcPr>
          <w:p w14:paraId="004B3FAC">
            <w:pPr>
              <w:pStyle w:val="23"/>
              <w:spacing w:line="276" w:lineRule="auto"/>
            </w:pPr>
            <w:r>
              <w:rPr>
                <w:rFonts w:hint="eastAsia"/>
              </w:rPr>
              <w:t>技术要求</w:t>
            </w:r>
          </w:p>
        </w:tc>
      </w:tr>
      <w:tr w14:paraId="72DB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78BBCF66">
            <w:pPr>
              <w:pStyle w:val="23"/>
              <w:spacing w:line="276" w:lineRule="auto"/>
            </w:pPr>
            <w:r>
              <w:rPr>
                <w:rFonts w:hint="eastAsia"/>
              </w:rPr>
              <w:t>1</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58107091">
            <w:pPr>
              <w:pStyle w:val="23"/>
              <w:spacing w:line="276" w:lineRule="auto"/>
            </w:pPr>
            <w:r>
              <w:rPr>
                <w:rFonts w:hint="eastAsia"/>
              </w:rPr>
              <w:t>机体框架材质</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09BB55E7">
            <w:pPr>
              <w:pStyle w:val="23"/>
              <w:spacing w:line="276" w:lineRule="auto"/>
              <w:rPr>
                <w:rFonts w:eastAsia="微软雅黑"/>
              </w:rPr>
            </w:pPr>
            <w:r>
              <w:rPr>
                <w:rFonts w:hint="eastAsia"/>
              </w:rPr>
              <w:t>碳钢</w:t>
            </w:r>
          </w:p>
        </w:tc>
      </w:tr>
      <w:tr w14:paraId="06B6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DBEC326">
            <w:pPr>
              <w:pStyle w:val="23"/>
              <w:spacing w:line="276" w:lineRule="auto"/>
            </w:pPr>
            <w:r>
              <w:t>3</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7A51614B">
            <w:pPr>
              <w:pStyle w:val="23"/>
              <w:spacing w:line="276" w:lineRule="auto"/>
            </w:pPr>
            <w:r>
              <w:rPr>
                <w:rFonts w:hint="eastAsia"/>
              </w:rPr>
              <w:t>辊筒品牌</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1F0E67F2">
            <w:pPr>
              <w:pStyle w:val="23"/>
              <w:spacing w:line="276" w:lineRule="auto"/>
            </w:pPr>
            <w:r>
              <w:rPr>
                <w:rFonts w:hint="eastAsia"/>
              </w:rPr>
              <w:t>德马</w:t>
            </w:r>
          </w:p>
        </w:tc>
      </w:tr>
      <w:tr w14:paraId="522F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1D766D2D">
            <w:pPr>
              <w:pStyle w:val="23"/>
              <w:spacing w:line="276" w:lineRule="auto"/>
              <w:rPr>
                <w:rFonts w:eastAsia="微软雅黑"/>
              </w:rPr>
            </w:pPr>
            <w:r>
              <w:rPr>
                <w:rFonts w:hint="eastAsia"/>
              </w:rPr>
              <w:t>5</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634715C3">
            <w:pPr>
              <w:pStyle w:val="23"/>
              <w:spacing w:line="276" w:lineRule="auto"/>
            </w:pPr>
            <w:r>
              <w:rPr>
                <w:rFonts w:hint="eastAsia"/>
              </w:rPr>
              <w:t>辊筒中心距</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391ABF71">
            <w:pPr>
              <w:pStyle w:val="23"/>
              <w:spacing w:line="276" w:lineRule="auto"/>
              <w:rPr>
                <w:rFonts w:hint="eastAsia" w:ascii="宋体" w:hAnsi="宋体"/>
              </w:rPr>
            </w:pPr>
            <w:r>
              <w:rPr>
                <w:rFonts w:hint="eastAsia" w:ascii="宋体" w:hAnsi="宋体"/>
              </w:rPr>
              <w:t>根据箱型确定</w:t>
            </w:r>
          </w:p>
        </w:tc>
      </w:tr>
      <w:tr w14:paraId="0C05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78740752">
            <w:pPr>
              <w:pStyle w:val="23"/>
              <w:spacing w:line="276" w:lineRule="auto"/>
              <w:rPr>
                <w:rFonts w:eastAsia="微软雅黑"/>
              </w:rPr>
            </w:pPr>
            <w:r>
              <w:rPr>
                <w:rFonts w:hint="eastAsia"/>
              </w:rPr>
              <w:t>6</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1649DDD6">
            <w:pPr>
              <w:pStyle w:val="23"/>
              <w:spacing w:line="276" w:lineRule="auto"/>
            </w:pPr>
            <w:r>
              <w:rPr>
                <w:rFonts w:hint="eastAsia"/>
              </w:rPr>
              <w:t>单个物料负载</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2AD016C3">
            <w:pPr>
              <w:pStyle w:val="23"/>
              <w:spacing w:line="276" w:lineRule="auto"/>
              <w:rPr>
                <w:rFonts w:hint="eastAsia" w:ascii="宋体" w:hAnsi="宋体"/>
              </w:rPr>
            </w:pPr>
            <w:r>
              <w:rPr>
                <w:rFonts w:hint="eastAsia" w:ascii="宋体" w:hAnsi="宋体"/>
              </w:rPr>
              <w:t>3</w:t>
            </w:r>
            <w:r>
              <w:rPr>
                <w:rFonts w:ascii="宋体" w:hAnsi="宋体"/>
              </w:rPr>
              <w:t>0</w:t>
            </w:r>
            <w:r>
              <w:rPr>
                <w:rFonts w:hint="eastAsia" w:ascii="宋体" w:hAnsi="宋体"/>
              </w:rPr>
              <w:t>kg</w:t>
            </w:r>
            <w:r>
              <w:rPr>
                <w:rFonts w:ascii="宋体" w:hAnsi="宋体"/>
              </w:rPr>
              <w:t>/</w:t>
            </w:r>
            <w:r>
              <w:rPr>
                <w:rFonts w:hint="eastAsia" w:ascii="宋体" w:hAnsi="宋体"/>
              </w:rPr>
              <w:t>箱</w:t>
            </w:r>
          </w:p>
        </w:tc>
      </w:tr>
      <w:tr w14:paraId="6A04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CD23660">
            <w:pPr>
              <w:pStyle w:val="23"/>
              <w:spacing w:line="276" w:lineRule="auto"/>
              <w:rPr>
                <w:rFonts w:eastAsia="微软雅黑"/>
              </w:rPr>
            </w:pPr>
            <w:r>
              <w:rPr>
                <w:rFonts w:hint="eastAsia"/>
              </w:rPr>
              <w:t>7</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077CF9D0">
            <w:pPr>
              <w:pStyle w:val="23"/>
              <w:spacing w:line="276" w:lineRule="auto"/>
            </w:pPr>
            <w:r>
              <w:rPr>
                <w:rFonts w:hint="eastAsia"/>
              </w:rPr>
              <w:t>输送速度</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60885A7B">
            <w:pPr>
              <w:pStyle w:val="23"/>
              <w:spacing w:line="276" w:lineRule="auto"/>
              <w:rPr>
                <w:rFonts w:hint="eastAsia" w:ascii="宋体" w:hAnsi="宋体"/>
              </w:rPr>
            </w:pPr>
            <w:r>
              <w:rPr>
                <w:rFonts w:hint="eastAsia" w:ascii="宋体" w:hAnsi="宋体"/>
              </w:rPr>
              <w:t>≥0.6m</w:t>
            </w:r>
            <w:r>
              <w:rPr>
                <w:rFonts w:ascii="宋体" w:hAnsi="宋体"/>
              </w:rPr>
              <w:t>/</w:t>
            </w:r>
            <w:r>
              <w:rPr>
                <w:rFonts w:hint="eastAsia" w:ascii="宋体" w:hAnsi="宋体"/>
              </w:rPr>
              <w:t>s</w:t>
            </w:r>
          </w:p>
        </w:tc>
      </w:tr>
      <w:tr w14:paraId="546F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38077D53">
            <w:pPr>
              <w:pStyle w:val="23"/>
              <w:spacing w:line="276" w:lineRule="auto"/>
              <w:rPr>
                <w:rFonts w:eastAsia="微软雅黑"/>
              </w:rPr>
            </w:pPr>
            <w:r>
              <w:rPr>
                <w:rFonts w:hint="eastAsia"/>
              </w:rPr>
              <w:t>8</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125FA13D">
            <w:pPr>
              <w:pStyle w:val="23"/>
              <w:spacing w:line="276" w:lineRule="auto"/>
            </w:pPr>
            <w:r>
              <w:rPr>
                <w:rFonts w:hint="eastAsia"/>
              </w:rPr>
              <w:t>驱动方式</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79B94A98">
            <w:pPr>
              <w:pStyle w:val="23"/>
              <w:spacing w:line="276" w:lineRule="auto"/>
            </w:pPr>
            <w:r>
              <w:rPr>
                <w:rFonts w:hint="eastAsia"/>
              </w:rPr>
              <w:t>电动辊筒</w:t>
            </w:r>
          </w:p>
        </w:tc>
      </w:tr>
      <w:tr w14:paraId="2C59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795EA81">
            <w:pPr>
              <w:pStyle w:val="23"/>
              <w:spacing w:line="276" w:lineRule="auto"/>
            </w:pPr>
            <w:r>
              <w:rPr>
                <w:rFonts w:hint="eastAsia"/>
              </w:rPr>
              <w:t>9</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2D523F9D">
            <w:pPr>
              <w:pStyle w:val="23"/>
              <w:spacing w:line="276" w:lineRule="auto"/>
            </w:pPr>
            <w:r>
              <w:rPr>
                <w:rFonts w:hint="eastAsia"/>
              </w:rPr>
              <w:t>传动方式</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475F4154">
            <w:pPr>
              <w:pStyle w:val="23"/>
              <w:spacing w:line="276" w:lineRule="auto"/>
            </w:pPr>
            <w:r>
              <w:rPr>
                <w:rFonts w:hint="eastAsia"/>
              </w:rPr>
              <w:t>多楔带/圆带</w:t>
            </w:r>
          </w:p>
        </w:tc>
      </w:tr>
    </w:tbl>
    <w:p w14:paraId="13832778">
      <w:pPr>
        <w:ind w:firstLine="0" w:firstLineChars="0"/>
      </w:pPr>
    </w:p>
    <w:p w14:paraId="298DE815">
      <w:pPr>
        <w:pStyle w:val="4"/>
        <w:rPr>
          <w:rFonts w:hint="eastAsia"/>
          <w:lang w:val="en-US"/>
        </w:rPr>
      </w:pPr>
      <w:bookmarkStart w:id="79" w:name="_Toc17979"/>
      <w:bookmarkStart w:id="80" w:name="_Toc186452607"/>
      <w:bookmarkStart w:id="81" w:name="_Toc186389158"/>
      <w:r>
        <w:rPr>
          <w:rFonts w:hint="eastAsia"/>
          <w:lang w:val="en-US"/>
        </w:rPr>
        <w:t>皮带输送</w:t>
      </w:r>
      <w:bookmarkEnd w:id="79"/>
      <w:bookmarkEnd w:id="80"/>
      <w:bookmarkEnd w:id="81"/>
    </w:p>
    <w:p w14:paraId="440D3E07">
      <w:pPr>
        <w:ind w:firstLine="0" w:firstLineChars="0"/>
        <w:jc w:val="center"/>
      </w:pPr>
      <w:r>
        <w:drawing>
          <wp:inline distT="0" distB="0" distL="114300" distR="114300">
            <wp:extent cx="2769235" cy="2087245"/>
            <wp:effectExtent l="0" t="0" r="0" b="8255"/>
            <wp:docPr id="5" name="图片 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标题"/>
                    <pic:cNvPicPr>
                      <a:picLocks noChangeAspect="1"/>
                    </pic:cNvPicPr>
                  </pic:nvPicPr>
                  <pic:blipFill>
                    <a:blip r:embed="rId17"/>
                    <a:srcRect r="52950" b="36990"/>
                    <a:stretch>
                      <a:fillRect/>
                    </a:stretch>
                  </pic:blipFill>
                  <pic:spPr>
                    <a:xfrm>
                      <a:off x="0" y="0"/>
                      <a:ext cx="2770316" cy="2088565"/>
                    </a:xfrm>
                    <a:prstGeom prst="rect">
                      <a:avLst/>
                    </a:prstGeom>
                  </pic:spPr>
                </pic:pic>
              </a:graphicData>
            </a:graphic>
          </wp:inline>
        </w:drawing>
      </w:r>
    </w:p>
    <w:p w14:paraId="53CD5569">
      <w:pPr>
        <w:ind w:firstLine="420"/>
        <w:jc w:val="center"/>
        <w:rPr>
          <w:sz w:val="21"/>
          <w:szCs w:val="21"/>
        </w:rPr>
      </w:pPr>
      <w:r>
        <w:rPr>
          <w:rFonts w:hint="eastAsia"/>
          <w:sz w:val="21"/>
          <w:szCs w:val="21"/>
        </w:rPr>
        <w:t>示意图，以最终设计为准</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3731"/>
        <w:gridCol w:w="3999"/>
      </w:tblGrid>
      <w:tr w14:paraId="2EC2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B11688F">
            <w:pPr>
              <w:pStyle w:val="23"/>
              <w:spacing w:line="276" w:lineRule="auto"/>
            </w:pPr>
            <w:r>
              <w:rPr>
                <w:rFonts w:hint="eastAsia"/>
              </w:rPr>
              <w:t>编号</w:t>
            </w:r>
          </w:p>
        </w:tc>
        <w:tc>
          <w:tcPr>
            <w:tcW w:w="2189" w:type="pct"/>
            <w:tcBorders>
              <w:top w:val="single" w:color="auto" w:sz="4" w:space="0"/>
              <w:left w:val="single" w:color="auto" w:sz="4" w:space="0"/>
              <w:bottom w:val="single" w:color="auto" w:sz="4" w:space="0"/>
              <w:right w:val="single" w:color="auto" w:sz="4" w:space="0"/>
            </w:tcBorders>
            <w:shd w:val="clear" w:color="auto" w:fill="auto"/>
          </w:tcPr>
          <w:p w14:paraId="75E523DE">
            <w:pPr>
              <w:pStyle w:val="23"/>
              <w:spacing w:line="276" w:lineRule="auto"/>
            </w:pPr>
            <w:r>
              <w:rPr>
                <w:rFonts w:hint="eastAsia"/>
              </w:rPr>
              <w:t>项目</w:t>
            </w:r>
          </w:p>
        </w:tc>
        <w:tc>
          <w:tcPr>
            <w:tcW w:w="2346" w:type="pct"/>
            <w:tcBorders>
              <w:top w:val="single" w:color="auto" w:sz="4" w:space="0"/>
              <w:left w:val="single" w:color="auto" w:sz="4" w:space="0"/>
              <w:bottom w:val="single" w:color="auto" w:sz="4" w:space="0"/>
              <w:right w:val="single" w:color="auto" w:sz="4" w:space="0"/>
            </w:tcBorders>
            <w:shd w:val="clear" w:color="auto" w:fill="auto"/>
          </w:tcPr>
          <w:p w14:paraId="729DE764">
            <w:pPr>
              <w:pStyle w:val="23"/>
              <w:spacing w:line="276" w:lineRule="auto"/>
            </w:pPr>
            <w:r>
              <w:rPr>
                <w:rFonts w:hint="eastAsia"/>
              </w:rPr>
              <w:t>技术要求</w:t>
            </w:r>
          </w:p>
        </w:tc>
      </w:tr>
      <w:tr w14:paraId="623E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076410B5">
            <w:pPr>
              <w:pStyle w:val="23"/>
              <w:spacing w:line="276" w:lineRule="auto"/>
            </w:pPr>
            <w:r>
              <w:rPr>
                <w:rFonts w:hint="eastAsia"/>
              </w:rPr>
              <w:t>1</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24E1A328">
            <w:pPr>
              <w:pStyle w:val="23"/>
              <w:spacing w:line="276" w:lineRule="auto"/>
            </w:pPr>
            <w:r>
              <w:rPr>
                <w:rFonts w:hint="eastAsia"/>
              </w:rPr>
              <w:t>机体框架材质</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7F3D003B">
            <w:pPr>
              <w:pStyle w:val="23"/>
              <w:spacing w:line="276" w:lineRule="auto"/>
              <w:rPr>
                <w:rFonts w:eastAsia="微软雅黑"/>
              </w:rPr>
            </w:pPr>
            <w:r>
              <w:rPr>
                <w:rFonts w:hint="eastAsia"/>
              </w:rPr>
              <w:t>碳钢</w:t>
            </w:r>
          </w:p>
        </w:tc>
      </w:tr>
      <w:tr w14:paraId="710E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070338D">
            <w:pPr>
              <w:pStyle w:val="23"/>
              <w:spacing w:line="276" w:lineRule="auto"/>
              <w:rPr>
                <w:rFonts w:eastAsia="微软雅黑"/>
              </w:rPr>
            </w:pPr>
            <w:r>
              <w:rPr>
                <w:rFonts w:hint="eastAsia"/>
              </w:rPr>
              <w:t>2</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0B767780">
            <w:pPr>
              <w:pStyle w:val="23"/>
              <w:spacing w:line="276" w:lineRule="auto"/>
            </w:pPr>
            <w:r>
              <w:rPr>
                <w:rFonts w:hint="eastAsia"/>
              </w:rPr>
              <w:t>中心距</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5AD323B8">
            <w:pPr>
              <w:pStyle w:val="23"/>
              <w:spacing w:line="276" w:lineRule="auto"/>
              <w:rPr>
                <w:rFonts w:hint="eastAsia" w:ascii="宋体" w:hAnsi="宋体"/>
              </w:rPr>
            </w:pPr>
            <w:r>
              <w:rPr>
                <w:rFonts w:hint="eastAsia" w:ascii="宋体" w:hAnsi="宋体"/>
              </w:rPr>
              <w:t>根据箱型确定</w:t>
            </w:r>
          </w:p>
        </w:tc>
      </w:tr>
      <w:tr w14:paraId="0A3B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7421953">
            <w:pPr>
              <w:pStyle w:val="23"/>
              <w:spacing w:line="276" w:lineRule="auto"/>
              <w:rPr>
                <w:rFonts w:eastAsia="微软雅黑"/>
              </w:rPr>
            </w:pPr>
            <w:r>
              <w:rPr>
                <w:rFonts w:hint="eastAsia"/>
              </w:rPr>
              <w:t>3</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4DD24ECE">
            <w:pPr>
              <w:pStyle w:val="23"/>
              <w:spacing w:line="276" w:lineRule="auto"/>
            </w:pPr>
            <w:r>
              <w:rPr>
                <w:rFonts w:hint="eastAsia"/>
              </w:rPr>
              <w:t>单个物料负载</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182623E2">
            <w:pPr>
              <w:pStyle w:val="23"/>
              <w:spacing w:line="276" w:lineRule="auto"/>
              <w:rPr>
                <w:rFonts w:hint="eastAsia" w:ascii="宋体" w:hAnsi="宋体"/>
              </w:rPr>
            </w:pPr>
            <w:r>
              <w:rPr>
                <w:rFonts w:hint="eastAsia" w:ascii="宋体" w:hAnsi="宋体"/>
              </w:rPr>
              <w:t>3</w:t>
            </w:r>
            <w:r>
              <w:rPr>
                <w:rFonts w:ascii="宋体" w:hAnsi="宋体"/>
              </w:rPr>
              <w:t>0</w:t>
            </w:r>
            <w:r>
              <w:rPr>
                <w:rFonts w:hint="eastAsia" w:ascii="宋体" w:hAnsi="宋体"/>
              </w:rPr>
              <w:t>kg</w:t>
            </w:r>
            <w:r>
              <w:rPr>
                <w:rFonts w:ascii="宋体" w:hAnsi="宋体"/>
              </w:rPr>
              <w:t>/</w:t>
            </w:r>
            <w:r>
              <w:rPr>
                <w:rFonts w:hint="eastAsia" w:ascii="宋体" w:hAnsi="宋体"/>
              </w:rPr>
              <w:t>箱</w:t>
            </w:r>
          </w:p>
        </w:tc>
      </w:tr>
      <w:tr w14:paraId="1B00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075DAC4">
            <w:pPr>
              <w:pStyle w:val="23"/>
              <w:spacing w:line="276" w:lineRule="auto"/>
              <w:rPr>
                <w:rFonts w:eastAsia="微软雅黑"/>
              </w:rPr>
            </w:pPr>
            <w:r>
              <w:rPr>
                <w:rFonts w:hint="eastAsia"/>
              </w:rPr>
              <w:t>4</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6456565C">
            <w:pPr>
              <w:pStyle w:val="23"/>
              <w:spacing w:line="276" w:lineRule="auto"/>
            </w:pPr>
            <w:r>
              <w:rPr>
                <w:rFonts w:hint="eastAsia"/>
              </w:rPr>
              <w:t>输送速度</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5F3BFA5C">
            <w:pPr>
              <w:pStyle w:val="23"/>
              <w:spacing w:line="276" w:lineRule="auto"/>
              <w:rPr>
                <w:rFonts w:hint="eastAsia" w:ascii="宋体" w:hAnsi="宋体"/>
              </w:rPr>
            </w:pPr>
            <w:r>
              <w:rPr>
                <w:rFonts w:hint="eastAsia" w:ascii="宋体" w:hAnsi="宋体"/>
              </w:rPr>
              <w:t>≥1m</w:t>
            </w:r>
            <w:r>
              <w:rPr>
                <w:rFonts w:ascii="宋体" w:hAnsi="宋体"/>
              </w:rPr>
              <w:t>/</w:t>
            </w:r>
            <w:r>
              <w:rPr>
                <w:rFonts w:hint="eastAsia" w:ascii="宋体" w:hAnsi="宋体"/>
              </w:rPr>
              <w:t>s</w:t>
            </w:r>
          </w:p>
        </w:tc>
      </w:tr>
      <w:tr w14:paraId="5D97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7F4872D9">
            <w:pPr>
              <w:pStyle w:val="23"/>
              <w:spacing w:line="276" w:lineRule="auto"/>
              <w:rPr>
                <w:rFonts w:eastAsia="微软雅黑"/>
              </w:rPr>
            </w:pPr>
            <w:r>
              <w:rPr>
                <w:rFonts w:hint="eastAsia"/>
              </w:rPr>
              <w:t>5</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14:paraId="196AEDD7">
            <w:pPr>
              <w:pStyle w:val="23"/>
              <w:spacing w:line="276" w:lineRule="auto"/>
            </w:pPr>
            <w:r>
              <w:rPr>
                <w:rFonts w:hint="eastAsia"/>
              </w:rPr>
              <w:t>驱动方式</w:t>
            </w:r>
          </w:p>
        </w:tc>
        <w:tc>
          <w:tcPr>
            <w:tcW w:w="2346" w:type="pct"/>
            <w:tcBorders>
              <w:top w:val="single" w:color="auto" w:sz="4" w:space="0"/>
              <w:left w:val="single" w:color="auto" w:sz="4" w:space="0"/>
              <w:bottom w:val="single" w:color="auto" w:sz="4" w:space="0"/>
              <w:right w:val="single" w:color="auto" w:sz="4" w:space="0"/>
            </w:tcBorders>
            <w:shd w:val="clear" w:color="auto" w:fill="auto"/>
            <w:vAlign w:val="center"/>
          </w:tcPr>
          <w:p w14:paraId="36330016">
            <w:pPr>
              <w:pStyle w:val="23"/>
              <w:spacing w:line="276" w:lineRule="auto"/>
            </w:pPr>
            <w:r>
              <w:rPr>
                <w:rFonts w:hint="eastAsia"/>
              </w:rPr>
              <w:t>扭力臂直驱/同步带传动</w:t>
            </w:r>
          </w:p>
        </w:tc>
      </w:tr>
    </w:tbl>
    <w:p w14:paraId="09EF556D">
      <w:pPr>
        <w:pStyle w:val="4"/>
        <w:rPr>
          <w:rFonts w:hint="eastAsia"/>
          <w:lang w:val="en-US"/>
        </w:rPr>
      </w:pPr>
      <w:bookmarkStart w:id="82" w:name="_Toc186452608"/>
      <w:bookmarkStart w:id="83" w:name="_Toc5302"/>
      <w:bookmarkStart w:id="84" w:name="_Toc186389159"/>
      <w:r>
        <w:rPr>
          <w:rFonts w:hint="eastAsia"/>
          <w:lang w:val="en-US"/>
        </w:rPr>
        <w:t>箱式提升机</w:t>
      </w:r>
      <w:bookmarkEnd w:id="82"/>
      <w:bookmarkEnd w:id="83"/>
      <w:bookmarkEnd w:id="84"/>
    </w:p>
    <w:p w14:paraId="3DACEE58">
      <w:pPr>
        <w:ind w:firstLine="0" w:firstLineChars="0"/>
      </w:pPr>
    </w:p>
    <w:p w14:paraId="2E408534">
      <w:pPr>
        <w:ind w:firstLine="480"/>
        <w:jc w:val="center"/>
      </w:pPr>
      <w:r>
        <w:drawing>
          <wp:inline distT="0" distB="0" distL="0" distR="0">
            <wp:extent cx="689610" cy="1624330"/>
            <wp:effectExtent l="0" t="0" r="0" b="0"/>
            <wp:docPr id="72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图片 27"/>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34326" r="33796"/>
                    <a:stretch>
                      <a:fillRect/>
                    </a:stretch>
                  </pic:blipFill>
                  <pic:spPr>
                    <a:xfrm>
                      <a:off x="0" y="0"/>
                      <a:ext cx="694963" cy="1637540"/>
                    </a:xfrm>
                    <a:prstGeom prst="rect">
                      <a:avLst/>
                    </a:prstGeom>
                    <a:ln>
                      <a:noFill/>
                    </a:ln>
                  </pic:spPr>
                </pic:pic>
              </a:graphicData>
            </a:graphic>
          </wp:inline>
        </w:drawing>
      </w:r>
    </w:p>
    <w:p w14:paraId="242A95BC">
      <w:pPr>
        <w:ind w:firstLine="420"/>
        <w:jc w:val="center"/>
        <w:rPr>
          <w:sz w:val="21"/>
          <w:szCs w:val="21"/>
        </w:rPr>
      </w:pPr>
      <w:r>
        <w:rPr>
          <w:rFonts w:hint="eastAsia"/>
          <w:sz w:val="21"/>
          <w:szCs w:val="21"/>
        </w:rPr>
        <w:t>示意图，以最终设计为准</w:t>
      </w:r>
    </w:p>
    <w:tbl>
      <w:tblPr>
        <w:tblStyle w:val="15"/>
        <w:tblW w:w="46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977"/>
        <w:gridCol w:w="4112"/>
      </w:tblGrid>
      <w:tr w14:paraId="7D08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16" w:type="pct"/>
            <w:vAlign w:val="center"/>
          </w:tcPr>
          <w:p w14:paraId="7C42F08E">
            <w:pPr>
              <w:pStyle w:val="23"/>
              <w:rPr>
                <w:rFonts w:hint="eastAsia" w:ascii="微软雅黑" w:hAnsi="微软雅黑" w:eastAsia="微软雅黑"/>
              </w:rPr>
            </w:pPr>
            <w:r>
              <w:rPr>
                <w:rFonts w:hint="eastAsia"/>
              </w:rPr>
              <w:t>编号</w:t>
            </w:r>
          </w:p>
        </w:tc>
        <w:tc>
          <w:tcPr>
            <w:tcW w:w="1883" w:type="pct"/>
          </w:tcPr>
          <w:p w14:paraId="2F138188">
            <w:pPr>
              <w:pStyle w:val="23"/>
              <w:rPr>
                <w:rFonts w:hint="eastAsia" w:ascii="微软雅黑" w:hAnsi="微软雅黑" w:eastAsia="微软雅黑"/>
              </w:rPr>
            </w:pPr>
            <w:r>
              <w:rPr>
                <w:rFonts w:hint="eastAsia"/>
              </w:rPr>
              <w:t>项目</w:t>
            </w:r>
          </w:p>
        </w:tc>
        <w:tc>
          <w:tcPr>
            <w:tcW w:w="2601" w:type="pct"/>
          </w:tcPr>
          <w:p w14:paraId="1A5D0152">
            <w:pPr>
              <w:pStyle w:val="23"/>
              <w:rPr>
                <w:rFonts w:hint="eastAsia" w:ascii="微软雅黑" w:hAnsi="微软雅黑" w:eastAsia="微软雅黑"/>
              </w:rPr>
            </w:pPr>
            <w:r>
              <w:rPr>
                <w:rFonts w:hint="eastAsia"/>
              </w:rPr>
              <w:t>技术要求</w:t>
            </w:r>
          </w:p>
        </w:tc>
      </w:tr>
      <w:tr w14:paraId="0136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pct"/>
          </w:tcPr>
          <w:p w14:paraId="45A986CC">
            <w:pPr>
              <w:pStyle w:val="23"/>
              <w:rPr>
                <w:rFonts w:hint="eastAsia" w:ascii="宋体" w:hAnsi="宋体"/>
              </w:rPr>
            </w:pPr>
            <w:r>
              <w:rPr>
                <w:rFonts w:hint="eastAsia" w:ascii="宋体" w:hAnsi="宋体"/>
              </w:rPr>
              <w:t>1</w:t>
            </w:r>
          </w:p>
        </w:tc>
        <w:tc>
          <w:tcPr>
            <w:tcW w:w="1883" w:type="pct"/>
          </w:tcPr>
          <w:p w14:paraId="13A50EDD">
            <w:pPr>
              <w:pStyle w:val="23"/>
              <w:rPr>
                <w:rFonts w:hint="eastAsia" w:ascii="宋体" w:hAnsi="宋体"/>
              </w:rPr>
            </w:pPr>
            <w:r>
              <w:rPr>
                <w:rFonts w:hint="eastAsia" w:ascii="宋体" w:hAnsi="宋体"/>
              </w:rPr>
              <w:t>载货台载荷能力</w:t>
            </w:r>
          </w:p>
        </w:tc>
        <w:tc>
          <w:tcPr>
            <w:tcW w:w="2601" w:type="pct"/>
          </w:tcPr>
          <w:p w14:paraId="3E37E417">
            <w:pPr>
              <w:pStyle w:val="23"/>
              <w:rPr>
                <w:rFonts w:hint="eastAsia" w:ascii="宋体" w:hAnsi="宋体"/>
              </w:rPr>
            </w:pPr>
            <w:r>
              <w:rPr>
                <w:rFonts w:hint="eastAsia" w:ascii="宋体" w:hAnsi="宋体"/>
              </w:rPr>
              <w:t>≤3</w:t>
            </w:r>
            <w:r>
              <w:rPr>
                <w:rFonts w:ascii="宋体" w:hAnsi="宋体"/>
              </w:rPr>
              <w:t>0</w:t>
            </w:r>
            <w:r>
              <w:rPr>
                <w:rFonts w:hint="eastAsia" w:ascii="宋体" w:hAnsi="宋体"/>
              </w:rPr>
              <w:t>kg</w:t>
            </w:r>
            <w:r>
              <w:rPr>
                <w:rFonts w:ascii="宋体" w:hAnsi="宋体"/>
              </w:rPr>
              <w:t>/</w:t>
            </w:r>
            <w:r>
              <w:rPr>
                <w:rFonts w:hint="eastAsia" w:ascii="宋体" w:hAnsi="宋体"/>
              </w:rPr>
              <w:t>箱</w:t>
            </w:r>
          </w:p>
        </w:tc>
      </w:tr>
      <w:tr w14:paraId="3501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pct"/>
          </w:tcPr>
          <w:p w14:paraId="13D73757">
            <w:pPr>
              <w:pStyle w:val="23"/>
              <w:rPr>
                <w:rFonts w:hint="eastAsia" w:ascii="宋体" w:hAnsi="宋体" w:eastAsia="微软雅黑"/>
              </w:rPr>
            </w:pPr>
            <w:r>
              <w:rPr>
                <w:rFonts w:hint="eastAsia" w:ascii="宋体" w:hAnsi="宋体"/>
              </w:rPr>
              <w:t>2</w:t>
            </w:r>
          </w:p>
        </w:tc>
        <w:tc>
          <w:tcPr>
            <w:tcW w:w="1883" w:type="pct"/>
          </w:tcPr>
          <w:p w14:paraId="4272C079">
            <w:pPr>
              <w:pStyle w:val="23"/>
              <w:rPr>
                <w:rFonts w:hint="eastAsia" w:ascii="宋体" w:hAnsi="宋体"/>
              </w:rPr>
            </w:pPr>
            <w:r>
              <w:rPr>
                <w:rFonts w:hint="eastAsia" w:ascii="宋体" w:hAnsi="宋体"/>
              </w:rPr>
              <w:t>提升机内输送形式</w:t>
            </w:r>
          </w:p>
        </w:tc>
        <w:tc>
          <w:tcPr>
            <w:tcW w:w="2601" w:type="pct"/>
          </w:tcPr>
          <w:p w14:paraId="474ECC51">
            <w:pPr>
              <w:pStyle w:val="23"/>
              <w:rPr>
                <w:rFonts w:hint="eastAsia" w:ascii="宋体" w:hAnsi="宋体"/>
              </w:rPr>
            </w:pPr>
            <w:r>
              <w:rPr>
                <w:rFonts w:hint="eastAsia" w:ascii="宋体" w:hAnsi="宋体"/>
              </w:rPr>
              <w:t>电辊筒输送</w:t>
            </w:r>
          </w:p>
        </w:tc>
      </w:tr>
      <w:tr w14:paraId="7C95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pct"/>
          </w:tcPr>
          <w:p w14:paraId="08246101">
            <w:pPr>
              <w:pStyle w:val="23"/>
              <w:rPr>
                <w:rFonts w:hint="eastAsia" w:ascii="宋体" w:hAnsi="宋体" w:eastAsia="微软雅黑"/>
              </w:rPr>
            </w:pPr>
            <w:r>
              <w:rPr>
                <w:rFonts w:hint="eastAsia" w:ascii="宋体" w:hAnsi="宋体"/>
              </w:rPr>
              <w:t>3</w:t>
            </w:r>
          </w:p>
        </w:tc>
        <w:tc>
          <w:tcPr>
            <w:tcW w:w="1883" w:type="pct"/>
          </w:tcPr>
          <w:p w14:paraId="76AA2659">
            <w:pPr>
              <w:pStyle w:val="23"/>
              <w:rPr>
                <w:rFonts w:hint="eastAsia" w:ascii="宋体" w:hAnsi="宋体"/>
              </w:rPr>
            </w:pPr>
            <w:r>
              <w:rPr>
                <w:rFonts w:hint="eastAsia" w:ascii="宋体" w:hAnsi="宋体"/>
              </w:rPr>
              <w:t>提升机内输送速度</w:t>
            </w:r>
          </w:p>
        </w:tc>
        <w:tc>
          <w:tcPr>
            <w:tcW w:w="2601" w:type="pct"/>
          </w:tcPr>
          <w:p w14:paraId="788E0D01">
            <w:pPr>
              <w:pStyle w:val="23"/>
              <w:rPr>
                <w:rFonts w:hint="eastAsia" w:ascii="宋体" w:hAnsi="宋体"/>
              </w:rPr>
            </w:pPr>
            <w:r>
              <w:rPr>
                <w:rFonts w:hint="eastAsia" w:ascii="宋体" w:hAnsi="宋体"/>
              </w:rPr>
              <w:t>0.6m</w:t>
            </w:r>
            <w:r>
              <w:rPr>
                <w:rFonts w:ascii="宋体" w:hAnsi="宋体"/>
              </w:rPr>
              <w:t>/</w:t>
            </w:r>
            <w:r>
              <w:rPr>
                <w:rFonts w:hint="eastAsia" w:ascii="宋体" w:hAnsi="宋体"/>
              </w:rPr>
              <w:t>s</w:t>
            </w:r>
          </w:p>
        </w:tc>
      </w:tr>
      <w:tr w14:paraId="24AB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pct"/>
          </w:tcPr>
          <w:p w14:paraId="1B445FB8">
            <w:pPr>
              <w:pStyle w:val="23"/>
              <w:rPr>
                <w:rFonts w:hint="eastAsia" w:ascii="宋体" w:hAnsi="宋体" w:eastAsia="微软雅黑"/>
              </w:rPr>
            </w:pPr>
            <w:r>
              <w:rPr>
                <w:rFonts w:hint="eastAsia" w:ascii="宋体" w:hAnsi="宋体"/>
              </w:rPr>
              <w:t>4</w:t>
            </w:r>
          </w:p>
        </w:tc>
        <w:tc>
          <w:tcPr>
            <w:tcW w:w="1883" w:type="pct"/>
          </w:tcPr>
          <w:p w14:paraId="2918E472">
            <w:pPr>
              <w:pStyle w:val="23"/>
              <w:rPr>
                <w:rFonts w:hint="eastAsia" w:ascii="宋体" w:hAnsi="宋体"/>
              </w:rPr>
            </w:pPr>
            <w:r>
              <w:rPr>
                <w:rFonts w:hint="eastAsia" w:ascii="宋体" w:hAnsi="宋体"/>
              </w:rPr>
              <w:t>操作方式</w:t>
            </w:r>
          </w:p>
        </w:tc>
        <w:tc>
          <w:tcPr>
            <w:tcW w:w="2601" w:type="pct"/>
          </w:tcPr>
          <w:p w14:paraId="3B00B1A5">
            <w:pPr>
              <w:pStyle w:val="23"/>
              <w:rPr>
                <w:rFonts w:hint="eastAsia" w:ascii="宋体" w:hAnsi="宋体"/>
              </w:rPr>
            </w:pPr>
            <w:r>
              <w:rPr>
                <w:rFonts w:hint="eastAsia" w:ascii="宋体" w:hAnsi="宋体" w:cs="微软雅黑"/>
                <w:snapToGrid w:val="0"/>
              </w:rPr>
              <w:t>手动/单机机上自动/在线联机自动</w:t>
            </w:r>
          </w:p>
        </w:tc>
      </w:tr>
      <w:tr w14:paraId="4DC5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pct"/>
          </w:tcPr>
          <w:p w14:paraId="7170A39A">
            <w:pPr>
              <w:pStyle w:val="23"/>
              <w:rPr>
                <w:rFonts w:hint="eastAsia" w:ascii="宋体" w:hAnsi="宋体" w:eastAsia="微软雅黑"/>
              </w:rPr>
            </w:pPr>
            <w:r>
              <w:rPr>
                <w:rFonts w:hint="eastAsia" w:ascii="宋体" w:hAnsi="宋体"/>
              </w:rPr>
              <w:t>5</w:t>
            </w:r>
          </w:p>
        </w:tc>
        <w:tc>
          <w:tcPr>
            <w:tcW w:w="1883" w:type="pct"/>
          </w:tcPr>
          <w:p w14:paraId="09413439">
            <w:pPr>
              <w:pStyle w:val="23"/>
              <w:rPr>
                <w:rFonts w:hint="eastAsia" w:ascii="宋体" w:hAnsi="宋体"/>
              </w:rPr>
            </w:pPr>
            <w:r>
              <w:rPr>
                <w:rFonts w:hint="eastAsia" w:ascii="宋体" w:hAnsi="宋体"/>
              </w:rPr>
              <w:t>高度（m）</w:t>
            </w:r>
          </w:p>
        </w:tc>
        <w:tc>
          <w:tcPr>
            <w:tcW w:w="2601" w:type="pct"/>
          </w:tcPr>
          <w:p w14:paraId="257D2A21">
            <w:pPr>
              <w:pStyle w:val="23"/>
              <w:rPr>
                <w:rFonts w:hint="eastAsia" w:ascii="宋体" w:hAnsi="宋体" w:eastAsia="微软雅黑"/>
              </w:rPr>
            </w:pPr>
            <w:r>
              <w:rPr>
                <w:rFonts w:hint="eastAsia" w:ascii="宋体" w:hAnsi="宋体"/>
              </w:rPr>
              <w:t>根据方案设计</w:t>
            </w:r>
          </w:p>
        </w:tc>
      </w:tr>
      <w:tr w14:paraId="1C98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16" w:type="pct"/>
          </w:tcPr>
          <w:p w14:paraId="3C89EF30">
            <w:pPr>
              <w:pStyle w:val="23"/>
              <w:rPr>
                <w:rFonts w:hint="eastAsia" w:ascii="宋体" w:hAnsi="宋体" w:eastAsia="微软雅黑"/>
              </w:rPr>
            </w:pPr>
            <w:r>
              <w:rPr>
                <w:rFonts w:hint="eastAsia" w:ascii="宋体" w:hAnsi="宋体"/>
              </w:rPr>
              <w:t>6</w:t>
            </w:r>
          </w:p>
        </w:tc>
        <w:tc>
          <w:tcPr>
            <w:tcW w:w="1883" w:type="pct"/>
          </w:tcPr>
          <w:p w14:paraId="12A9D404">
            <w:pPr>
              <w:pStyle w:val="23"/>
              <w:rPr>
                <w:rFonts w:hint="eastAsia" w:ascii="宋体" w:hAnsi="宋体"/>
              </w:rPr>
            </w:pPr>
            <w:r>
              <w:rPr>
                <w:rFonts w:hint="eastAsia" w:ascii="宋体" w:hAnsi="宋体"/>
              </w:rPr>
              <w:t>提升速度</w:t>
            </w:r>
          </w:p>
        </w:tc>
        <w:tc>
          <w:tcPr>
            <w:tcW w:w="2601" w:type="pct"/>
          </w:tcPr>
          <w:p w14:paraId="18374D2F">
            <w:pPr>
              <w:pStyle w:val="23"/>
              <w:rPr>
                <w:rFonts w:hint="eastAsia" w:ascii="宋体" w:hAnsi="宋体" w:eastAsia="微软雅黑"/>
              </w:rPr>
            </w:pPr>
            <w:r>
              <w:rPr>
                <w:rFonts w:hint="eastAsia" w:ascii="宋体" w:hAnsi="宋体"/>
              </w:rPr>
              <w:t>≤45m/min</w:t>
            </w:r>
          </w:p>
        </w:tc>
      </w:tr>
      <w:tr w14:paraId="33CB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6" w:type="pct"/>
          </w:tcPr>
          <w:p w14:paraId="2DD41F36">
            <w:pPr>
              <w:pStyle w:val="23"/>
              <w:rPr>
                <w:rFonts w:hint="eastAsia" w:ascii="宋体" w:hAnsi="宋体" w:eastAsia="微软雅黑"/>
              </w:rPr>
            </w:pPr>
            <w:r>
              <w:rPr>
                <w:rFonts w:hint="eastAsia" w:ascii="宋体" w:hAnsi="宋体"/>
              </w:rPr>
              <w:t>7</w:t>
            </w:r>
          </w:p>
        </w:tc>
        <w:tc>
          <w:tcPr>
            <w:tcW w:w="1883" w:type="pct"/>
          </w:tcPr>
          <w:p w14:paraId="3DBE161C">
            <w:pPr>
              <w:pStyle w:val="23"/>
              <w:rPr>
                <w:rFonts w:hint="eastAsia" w:ascii="宋体" w:hAnsi="宋体" w:eastAsia="微软雅黑"/>
              </w:rPr>
            </w:pPr>
            <w:r>
              <w:rPr>
                <w:rFonts w:hint="eastAsia" w:ascii="宋体" w:hAnsi="宋体"/>
              </w:rPr>
              <w:t>链条</w:t>
            </w:r>
          </w:p>
        </w:tc>
        <w:tc>
          <w:tcPr>
            <w:tcW w:w="2601" w:type="pct"/>
          </w:tcPr>
          <w:p w14:paraId="4063128E">
            <w:pPr>
              <w:pStyle w:val="23"/>
              <w:rPr>
                <w:rFonts w:hint="eastAsia" w:ascii="宋体" w:hAnsi="宋体" w:eastAsia="微软雅黑"/>
              </w:rPr>
            </w:pPr>
            <w:r>
              <w:rPr>
                <w:rFonts w:hint="eastAsia" w:ascii="宋体" w:hAnsi="宋体"/>
              </w:rPr>
              <w:t>东华</w:t>
            </w:r>
          </w:p>
        </w:tc>
      </w:tr>
      <w:tr w14:paraId="02FA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6" w:type="pct"/>
          </w:tcPr>
          <w:p w14:paraId="2493C7C4">
            <w:pPr>
              <w:pStyle w:val="23"/>
              <w:rPr>
                <w:rFonts w:hint="eastAsia" w:ascii="宋体" w:hAnsi="宋体"/>
              </w:rPr>
            </w:pPr>
            <w:r>
              <w:rPr>
                <w:rFonts w:hint="eastAsia" w:ascii="宋体" w:hAnsi="宋体"/>
              </w:rPr>
              <w:t>8</w:t>
            </w:r>
          </w:p>
        </w:tc>
        <w:tc>
          <w:tcPr>
            <w:tcW w:w="1883" w:type="pct"/>
          </w:tcPr>
          <w:p w14:paraId="54637CC6">
            <w:pPr>
              <w:pStyle w:val="23"/>
              <w:rPr>
                <w:rFonts w:hint="eastAsia" w:ascii="宋体" w:hAnsi="宋体"/>
              </w:rPr>
            </w:pPr>
            <w:r>
              <w:rPr>
                <w:rFonts w:hint="eastAsia" w:ascii="宋体" w:hAnsi="宋体"/>
              </w:rPr>
              <w:t>电机品牌</w:t>
            </w:r>
          </w:p>
        </w:tc>
        <w:tc>
          <w:tcPr>
            <w:tcW w:w="2601" w:type="pct"/>
          </w:tcPr>
          <w:p w14:paraId="07B69837">
            <w:pPr>
              <w:pStyle w:val="23"/>
              <w:rPr>
                <w:rFonts w:hint="eastAsia" w:ascii="宋体" w:hAnsi="宋体"/>
              </w:rPr>
            </w:pPr>
            <w:r>
              <w:rPr>
                <w:rFonts w:hint="eastAsia" w:ascii="宋体" w:hAnsi="宋体"/>
              </w:rPr>
              <w:t>SEW</w:t>
            </w:r>
          </w:p>
        </w:tc>
      </w:tr>
      <w:tr w14:paraId="0320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16" w:type="pct"/>
          </w:tcPr>
          <w:p w14:paraId="546E0425">
            <w:pPr>
              <w:pStyle w:val="23"/>
              <w:rPr>
                <w:rFonts w:hint="eastAsia" w:ascii="宋体" w:hAnsi="宋体"/>
              </w:rPr>
            </w:pPr>
            <w:r>
              <w:rPr>
                <w:rFonts w:hint="eastAsia" w:ascii="宋体" w:hAnsi="宋体"/>
              </w:rPr>
              <w:t>9</w:t>
            </w:r>
          </w:p>
        </w:tc>
        <w:tc>
          <w:tcPr>
            <w:tcW w:w="1883" w:type="pct"/>
          </w:tcPr>
          <w:p w14:paraId="1BA1EDE4">
            <w:pPr>
              <w:pStyle w:val="23"/>
              <w:rPr>
                <w:rFonts w:hint="eastAsia" w:ascii="宋体" w:hAnsi="宋体"/>
              </w:rPr>
            </w:pPr>
            <w:r>
              <w:rPr>
                <w:rFonts w:hint="eastAsia" w:ascii="宋体" w:hAnsi="宋体"/>
              </w:rPr>
              <w:t>拖链</w:t>
            </w:r>
          </w:p>
        </w:tc>
        <w:tc>
          <w:tcPr>
            <w:tcW w:w="2601" w:type="pct"/>
          </w:tcPr>
          <w:p w14:paraId="2E300445">
            <w:pPr>
              <w:pStyle w:val="23"/>
              <w:rPr>
                <w:rFonts w:hint="eastAsia" w:ascii="宋体" w:hAnsi="宋体"/>
              </w:rPr>
            </w:pPr>
            <w:r>
              <w:rPr>
                <w:rFonts w:hint="eastAsia" w:ascii="宋体" w:hAnsi="宋体"/>
              </w:rPr>
              <w:t>易格斯或同等品牌</w:t>
            </w:r>
          </w:p>
        </w:tc>
      </w:tr>
    </w:tbl>
    <w:p w14:paraId="11D9DE34">
      <w:pPr>
        <w:ind w:firstLine="0" w:firstLineChars="0"/>
      </w:pPr>
    </w:p>
    <w:p w14:paraId="6E2E3334">
      <w:pPr>
        <w:pStyle w:val="3"/>
        <w:rPr>
          <w:rFonts w:ascii="Times New Roman" w:hAnsi="Times New Roman"/>
        </w:rPr>
      </w:pPr>
      <w:bookmarkStart w:id="85" w:name="_Toc186452609"/>
      <w:bookmarkStart w:id="86" w:name="_Toc30395"/>
      <w:bookmarkStart w:id="87" w:name="_Toc186389160"/>
      <w:r>
        <w:rPr>
          <w:rFonts w:hint="eastAsia" w:ascii="Times New Roman" w:hAnsi="Times New Roman"/>
          <w:lang w:val="en-US"/>
        </w:rPr>
        <w:t>码垛机器人</w:t>
      </w:r>
      <w:bookmarkEnd w:id="85"/>
      <w:bookmarkEnd w:id="86"/>
      <w:bookmarkEnd w:id="87"/>
    </w:p>
    <w:p w14:paraId="7D6F3937">
      <w:pPr>
        <w:pStyle w:val="20"/>
        <w:ind w:firstLine="0" w:firstLineChars="0"/>
        <w:jc w:val="left"/>
        <w:rPr>
          <w:rFonts w:hint="eastAsia" w:asciiTheme="minorEastAsia" w:hAnsiTheme="minorEastAsia" w:cstheme="minorEastAsia"/>
          <w:szCs w:val="24"/>
        </w:rPr>
      </w:pPr>
      <w:bookmarkStart w:id="88" w:name="_Toc18234"/>
      <w:bookmarkStart w:id="89" w:name="_Toc17355"/>
      <w:bookmarkStart w:id="90" w:name="_Toc186389161"/>
      <w:bookmarkStart w:id="91" w:name="_Toc425952168"/>
      <w:bookmarkStart w:id="92" w:name="_Toc25148"/>
      <w:r>
        <w:rPr>
          <w:rFonts w:hint="eastAsia" w:asciiTheme="minorEastAsia" w:hAnsiTheme="minorEastAsia" w:cstheme="minorEastAsia"/>
          <w:szCs w:val="24"/>
        </w:rPr>
        <w:t>基本参数</w:t>
      </w:r>
      <w:bookmarkEnd w:id="88"/>
      <w:bookmarkEnd w:id="89"/>
      <w:bookmarkEnd w:id="90"/>
      <w:bookmarkEnd w:id="91"/>
      <w:bookmarkEnd w:id="92"/>
    </w:p>
    <w:p w14:paraId="2EF2DF67">
      <w:pPr>
        <w:pStyle w:val="20"/>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纸箱尺寸：</w:t>
      </w:r>
    </w:p>
    <w:tbl>
      <w:tblPr>
        <w:tblStyle w:val="15"/>
        <w:tblW w:w="7606" w:type="dxa"/>
        <w:jc w:val="center"/>
        <w:tblLayout w:type="fixed"/>
        <w:tblCellMar>
          <w:top w:w="0" w:type="dxa"/>
          <w:left w:w="108" w:type="dxa"/>
          <w:bottom w:w="0" w:type="dxa"/>
          <w:right w:w="108" w:type="dxa"/>
        </w:tblCellMar>
      </w:tblPr>
      <w:tblGrid>
        <w:gridCol w:w="1317"/>
        <w:gridCol w:w="3733"/>
        <w:gridCol w:w="1872"/>
        <w:gridCol w:w="684"/>
      </w:tblGrid>
      <w:tr w14:paraId="54FB7396">
        <w:tblPrEx>
          <w:tblCellMar>
            <w:top w:w="0" w:type="dxa"/>
            <w:left w:w="108" w:type="dxa"/>
            <w:bottom w:w="0" w:type="dxa"/>
            <w:right w:w="108" w:type="dxa"/>
          </w:tblCellMar>
        </w:tblPrEx>
        <w:trPr>
          <w:trHeight w:val="520" w:hRule="atLeast"/>
          <w:jc w:val="center"/>
        </w:trPr>
        <w:tc>
          <w:tcPr>
            <w:tcW w:w="1317" w:type="dxa"/>
            <w:vMerge w:val="restart"/>
            <w:tcBorders>
              <w:top w:val="single" w:color="auto" w:sz="4" w:space="0"/>
              <w:left w:val="single" w:color="auto" w:sz="4" w:space="0"/>
              <w:bottom w:val="single" w:color="auto" w:sz="4" w:space="0"/>
              <w:right w:val="single" w:color="auto" w:sz="4" w:space="0"/>
            </w:tcBorders>
            <w:vAlign w:val="center"/>
          </w:tcPr>
          <w:p w14:paraId="367145F7">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品牌</w:t>
            </w:r>
          </w:p>
        </w:tc>
        <w:tc>
          <w:tcPr>
            <w:tcW w:w="3733" w:type="dxa"/>
            <w:vMerge w:val="restart"/>
            <w:tcBorders>
              <w:top w:val="single" w:color="auto" w:sz="4" w:space="0"/>
              <w:left w:val="single" w:color="auto" w:sz="4" w:space="0"/>
              <w:bottom w:val="single" w:color="auto" w:sz="4" w:space="0"/>
              <w:right w:val="single" w:color="auto" w:sz="4" w:space="0"/>
            </w:tcBorders>
            <w:vAlign w:val="center"/>
          </w:tcPr>
          <w:p w14:paraId="3295DC83">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纸箱规格（b×h×l）单位：mm</w:t>
            </w:r>
          </w:p>
        </w:tc>
        <w:tc>
          <w:tcPr>
            <w:tcW w:w="1872" w:type="dxa"/>
            <w:vMerge w:val="restart"/>
            <w:tcBorders>
              <w:top w:val="single" w:color="auto" w:sz="4" w:space="0"/>
              <w:left w:val="single" w:color="auto" w:sz="4" w:space="0"/>
              <w:bottom w:val="single" w:color="auto" w:sz="4" w:space="0"/>
              <w:right w:val="single" w:color="auto" w:sz="4" w:space="0"/>
            </w:tcBorders>
            <w:vAlign w:val="center"/>
          </w:tcPr>
          <w:p w14:paraId="3A3967E1">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纸箱总质量，单位：kg</w:t>
            </w:r>
          </w:p>
        </w:tc>
        <w:tc>
          <w:tcPr>
            <w:tcW w:w="684" w:type="dxa"/>
            <w:vMerge w:val="restart"/>
            <w:tcBorders>
              <w:top w:val="single" w:color="auto" w:sz="4" w:space="0"/>
              <w:left w:val="single" w:color="auto" w:sz="4" w:space="0"/>
              <w:bottom w:val="single" w:color="auto" w:sz="4" w:space="0"/>
              <w:right w:val="single" w:color="auto" w:sz="4" w:space="0"/>
            </w:tcBorders>
            <w:vAlign w:val="center"/>
          </w:tcPr>
          <w:p w14:paraId="4752F7DB">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备注</w:t>
            </w:r>
          </w:p>
        </w:tc>
      </w:tr>
      <w:tr w14:paraId="6EEEA8F7">
        <w:tblPrEx>
          <w:tblCellMar>
            <w:top w:w="0" w:type="dxa"/>
            <w:left w:w="108" w:type="dxa"/>
            <w:bottom w:w="0" w:type="dxa"/>
            <w:right w:w="108" w:type="dxa"/>
          </w:tblCellMar>
        </w:tblPrEx>
        <w:trPr>
          <w:trHeight w:val="468" w:hRule="atLeast"/>
          <w:jc w:val="center"/>
        </w:trPr>
        <w:tc>
          <w:tcPr>
            <w:tcW w:w="1317" w:type="dxa"/>
            <w:vMerge w:val="continue"/>
            <w:tcBorders>
              <w:top w:val="single" w:color="auto" w:sz="4" w:space="0"/>
              <w:left w:val="single" w:color="auto" w:sz="4" w:space="0"/>
              <w:bottom w:val="single" w:color="auto" w:sz="4" w:space="0"/>
              <w:right w:val="single" w:color="auto" w:sz="4" w:space="0"/>
            </w:tcBorders>
            <w:vAlign w:val="center"/>
          </w:tcPr>
          <w:p w14:paraId="4D8E11F7">
            <w:pPr>
              <w:ind w:firstLine="420"/>
              <w:jc w:val="left"/>
              <w:rPr>
                <w:rFonts w:hint="eastAsia" w:ascii="宋体" w:hAnsi="宋体" w:eastAsia="宋体" w:cstheme="minorEastAsia"/>
                <w:sz w:val="21"/>
                <w:szCs w:val="21"/>
              </w:rPr>
            </w:pPr>
          </w:p>
        </w:tc>
        <w:tc>
          <w:tcPr>
            <w:tcW w:w="3733" w:type="dxa"/>
            <w:vMerge w:val="continue"/>
            <w:tcBorders>
              <w:top w:val="single" w:color="auto" w:sz="4" w:space="0"/>
              <w:left w:val="single" w:color="auto" w:sz="4" w:space="0"/>
              <w:bottom w:val="single" w:color="auto" w:sz="4" w:space="0"/>
              <w:right w:val="single" w:color="auto" w:sz="4" w:space="0"/>
            </w:tcBorders>
            <w:vAlign w:val="center"/>
          </w:tcPr>
          <w:p w14:paraId="5E540DB7">
            <w:pPr>
              <w:ind w:firstLine="420"/>
              <w:jc w:val="left"/>
              <w:rPr>
                <w:rFonts w:hint="eastAsia" w:ascii="宋体" w:hAnsi="宋体" w:eastAsia="宋体" w:cstheme="minorEastAsia"/>
                <w:sz w:val="21"/>
                <w:szCs w:val="21"/>
              </w:rPr>
            </w:pPr>
          </w:p>
        </w:tc>
        <w:tc>
          <w:tcPr>
            <w:tcW w:w="1872" w:type="dxa"/>
            <w:vMerge w:val="continue"/>
            <w:tcBorders>
              <w:top w:val="single" w:color="auto" w:sz="4" w:space="0"/>
              <w:left w:val="single" w:color="auto" w:sz="4" w:space="0"/>
              <w:bottom w:val="single" w:color="auto" w:sz="4" w:space="0"/>
              <w:right w:val="single" w:color="auto" w:sz="4" w:space="0"/>
            </w:tcBorders>
            <w:vAlign w:val="center"/>
          </w:tcPr>
          <w:p w14:paraId="599F0F47">
            <w:pPr>
              <w:ind w:left="-2" w:leftChars="-4" w:hanging="8" w:hangingChars="4"/>
              <w:jc w:val="left"/>
              <w:rPr>
                <w:rFonts w:hint="eastAsia" w:ascii="宋体" w:hAnsi="宋体" w:eastAsia="宋体" w:cstheme="minorEastAsia"/>
                <w:sz w:val="21"/>
                <w:szCs w:val="21"/>
              </w:rPr>
            </w:pPr>
          </w:p>
        </w:tc>
        <w:tc>
          <w:tcPr>
            <w:tcW w:w="684" w:type="dxa"/>
            <w:vMerge w:val="continue"/>
            <w:tcBorders>
              <w:top w:val="single" w:color="auto" w:sz="4" w:space="0"/>
              <w:left w:val="single" w:color="auto" w:sz="4" w:space="0"/>
              <w:bottom w:val="single" w:color="auto" w:sz="4" w:space="0"/>
              <w:right w:val="single" w:color="auto" w:sz="4" w:space="0"/>
            </w:tcBorders>
            <w:vAlign w:val="center"/>
          </w:tcPr>
          <w:p w14:paraId="461A02EA">
            <w:pPr>
              <w:ind w:firstLine="18" w:firstLineChars="9"/>
              <w:jc w:val="left"/>
              <w:rPr>
                <w:rFonts w:hint="eastAsia" w:ascii="宋体" w:hAnsi="宋体" w:eastAsia="宋体" w:cstheme="minorEastAsia"/>
                <w:sz w:val="21"/>
                <w:szCs w:val="21"/>
              </w:rPr>
            </w:pPr>
          </w:p>
        </w:tc>
      </w:tr>
      <w:tr w14:paraId="071C9DF6">
        <w:tblPrEx>
          <w:tblCellMar>
            <w:top w:w="0" w:type="dxa"/>
            <w:left w:w="108" w:type="dxa"/>
            <w:bottom w:w="0" w:type="dxa"/>
            <w:right w:w="108" w:type="dxa"/>
          </w:tblCellMar>
        </w:tblPrEx>
        <w:trPr>
          <w:trHeight w:val="415" w:hRule="atLeast"/>
          <w:jc w:val="center"/>
        </w:trPr>
        <w:tc>
          <w:tcPr>
            <w:tcW w:w="1317" w:type="dxa"/>
            <w:tcBorders>
              <w:top w:val="single" w:color="auto" w:sz="4" w:space="0"/>
              <w:left w:val="single" w:color="auto" w:sz="4" w:space="0"/>
              <w:bottom w:val="single" w:color="auto" w:sz="4" w:space="0"/>
              <w:right w:val="single" w:color="auto" w:sz="4" w:space="0"/>
            </w:tcBorders>
            <w:vAlign w:val="center"/>
          </w:tcPr>
          <w:p w14:paraId="54D50364">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无纺布机台纸箱尺寸范围</w:t>
            </w:r>
          </w:p>
        </w:tc>
        <w:tc>
          <w:tcPr>
            <w:tcW w:w="3733" w:type="dxa"/>
            <w:tcBorders>
              <w:top w:val="single" w:color="auto" w:sz="4" w:space="0"/>
              <w:left w:val="nil"/>
              <w:bottom w:val="single" w:color="auto" w:sz="4" w:space="0"/>
              <w:right w:val="single" w:color="auto" w:sz="4" w:space="0"/>
            </w:tcBorders>
            <w:vAlign w:val="center"/>
          </w:tcPr>
          <w:p w14:paraId="0AEFF051">
            <w:pPr>
              <w:ind w:firstLine="0" w:firstLineChars="0"/>
              <w:jc w:val="left"/>
              <w:rPr>
                <w:rFonts w:hint="eastAsia" w:ascii="宋体" w:hAnsi="宋体" w:eastAsia="宋体"/>
                <w:sz w:val="21"/>
                <w:szCs w:val="21"/>
              </w:rPr>
            </w:pPr>
            <w:r>
              <w:rPr>
                <w:rFonts w:hint="eastAsia" w:ascii="宋体" w:hAnsi="宋体" w:eastAsia="宋体"/>
                <w:sz w:val="21"/>
                <w:szCs w:val="21"/>
              </w:rPr>
              <w:t>L300-500*W250-400*H</w:t>
            </w:r>
            <w:r>
              <w:rPr>
                <w:rFonts w:ascii="宋体" w:hAnsi="宋体" w:eastAsia="宋体"/>
                <w:sz w:val="21"/>
                <w:szCs w:val="21"/>
              </w:rPr>
              <w:t>270</w:t>
            </w:r>
            <w:r>
              <w:rPr>
                <w:rFonts w:hint="eastAsia" w:ascii="宋体" w:hAnsi="宋体" w:eastAsia="宋体"/>
                <w:sz w:val="21"/>
                <w:szCs w:val="21"/>
              </w:rPr>
              <w:t>-700mm</w:t>
            </w:r>
          </w:p>
        </w:tc>
        <w:tc>
          <w:tcPr>
            <w:tcW w:w="1872" w:type="dxa"/>
            <w:tcBorders>
              <w:top w:val="single" w:color="auto" w:sz="4" w:space="0"/>
              <w:left w:val="nil"/>
              <w:bottom w:val="single" w:color="auto" w:sz="4" w:space="0"/>
              <w:right w:val="single" w:color="auto" w:sz="4" w:space="0"/>
            </w:tcBorders>
            <w:vAlign w:val="center"/>
          </w:tcPr>
          <w:p w14:paraId="31E316DD">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≤20</w:t>
            </w:r>
          </w:p>
        </w:tc>
        <w:tc>
          <w:tcPr>
            <w:tcW w:w="684" w:type="dxa"/>
            <w:tcBorders>
              <w:top w:val="single" w:color="auto" w:sz="4" w:space="0"/>
              <w:left w:val="nil"/>
              <w:bottom w:val="single" w:color="auto" w:sz="4" w:space="0"/>
              <w:right w:val="single" w:color="auto" w:sz="4" w:space="0"/>
            </w:tcBorders>
            <w:vAlign w:val="center"/>
          </w:tcPr>
          <w:p w14:paraId="6FF0E20A">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码垛</w:t>
            </w:r>
          </w:p>
        </w:tc>
      </w:tr>
      <w:tr w14:paraId="510A6A7F">
        <w:tblPrEx>
          <w:tblCellMar>
            <w:top w:w="0" w:type="dxa"/>
            <w:left w:w="108" w:type="dxa"/>
            <w:bottom w:w="0" w:type="dxa"/>
            <w:right w:w="108" w:type="dxa"/>
          </w:tblCellMar>
        </w:tblPrEx>
        <w:trPr>
          <w:trHeight w:val="415" w:hRule="atLeast"/>
          <w:jc w:val="center"/>
        </w:trPr>
        <w:tc>
          <w:tcPr>
            <w:tcW w:w="1317" w:type="dxa"/>
            <w:tcBorders>
              <w:top w:val="single" w:color="auto" w:sz="4" w:space="0"/>
              <w:left w:val="single" w:color="auto" w:sz="4" w:space="0"/>
              <w:bottom w:val="single" w:color="auto" w:sz="4" w:space="0"/>
              <w:right w:val="single" w:color="auto" w:sz="4" w:space="0"/>
            </w:tcBorders>
            <w:vAlign w:val="center"/>
          </w:tcPr>
          <w:p w14:paraId="6FE49173">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纸袋机机台纸箱尺寸范围</w:t>
            </w:r>
          </w:p>
        </w:tc>
        <w:tc>
          <w:tcPr>
            <w:tcW w:w="3733" w:type="dxa"/>
            <w:tcBorders>
              <w:top w:val="single" w:color="auto" w:sz="4" w:space="0"/>
              <w:left w:val="nil"/>
              <w:bottom w:val="single" w:color="auto" w:sz="4" w:space="0"/>
              <w:right w:val="single" w:color="auto" w:sz="4" w:space="0"/>
            </w:tcBorders>
            <w:vAlign w:val="center"/>
          </w:tcPr>
          <w:p w14:paraId="2EACD3A0">
            <w:pPr>
              <w:tabs>
                <w:tab w:val="center" w:pos="4537"/>
              </w:tabs>
              <w:ind w:firstLine="0" w:firstLineChars="0"/>
              <w:jc w:val="left"/>
              <w:rPr>
                <w:rFonts w:hint="eastAsia" w:ascii="宋体" w:hAnsi="宋体" w:eastAsia="宋体"/>
                <w:sz w:val="21"/>
                <w:szCs w:val="21"/>
              </w:rPr>
            </w:pPr>
            <w:r>
              <w:rPr>
                <w:rFonts w:hint="eastAsia" w:ascii="宋体" w:hAnsi="宋体" w:eastAsia="宋体"/>
                <w:sz w:val="21"/>
                <w:szCs w:val="21"/>
              </w:rPr>
              <w:t>L</w:t>
            </w:r>
            <w:r>
              <w:rPr>
                <w:rFonts w:ascii="宋体" w:hAnsi="宋体" w:eastAsia="宋体"/>
                <w:sz w:val="21"/>
                <w:szCs w:val="21"/>
              </w:rPr>
              <w:t>350</w:t>
            </w:r>
            <w:r>
              <w:rPr>
                <w:rFonts w:hint="eastAsia" w:ascii="宋体" w:hAnsi="宋体" w:eastAsia="宋体"/>
                <w:sz w:val="21"/>
                <w:szCs w:val="21"/>
              </w:rPr>
              <w:t>-500*W2</w:t>
            </w:r>
            <w:r>
              <w:rPr>
                <w:rFonts w:ascii="宋体" w:hAnsi="宋体" w:eastAsia="宋体"/>
                <w:sz w:val="21"/>
                <w:szCs w:val="21"/>
              </w:rPr>
              <w:t>3</w:t>
            </w:r>
            <w:r>
              <w:rPr>
                <w:rFonts w:hint="eastAsia" w:ascii="宋体" w:hAnsi="宋体" w:eastAsia="宋体"/>
                <w:sz w:val="21"/>
                <w:szCs w:val="21"/>
              </w:rPr>
              <w:t>0-650*H</w:t>
            </w:r>
            <w:r>
              <w:rPr>
                <w:rFonts w:ascii="宋体" w:hAnsi="宋体" w:eastAsia="宋体"/>
                <w:sz w:val="21"/>
                <w:szCs w:val="21"/>
              </w:rPr>
              <w:t>150</w:t>
            </w:r>
            <w:r>
              <w:rPr>
                <w:rFonts w:hint="eastAsia" w:ascii="宋体" w:hAnsi="宋体" w:eastAsia="宋体"/>
                <w:sz w:val="21"/>
                <w:szCs w:val="21"/>
              </w:rPr>
              <w:t>-500mm</w:t>
            </w:r>
          </w:p>
        </w:tc>
        <w:tc>
          <w:tcPr>
            <w:tcW w:w="1872" w:type="dxa"/>
            <w:tcBorders>
              <w:top w:val="single" w:color="auto" w:sz="4" w:space="0"/>
              <w:left w:val="nil"/>
              <w:bottom w:val="single" w:color="auto" w:sz="4" w:space="0"/>
              <w:right w:val="single" w:color="auto" w:sz="4" w:space="0"/>
            </w:tcBorders>
            <w:vAlign w:val="center"/>
          </w:tcPr>
          <w:p w14:paraId="373F7BDD">
            <w:pPr>
              <w:ind w:firstLine="0" w:firstLineChars="0"/>
              <w:jc w:val="left"/>
              <w:rPr>
                <w:rFonts w:hint="eastAsia" w:ascii="宋体" w:hAnsi="宋体" w:eastAsia="宋体" w:cstheme="minorEastAsia"/>
                <w:sz w:val="21"/>
                <w:szCs w:val="21"/>
                <w:highlight w:val="yellow"/>
              </w:rPr>
            </w:pPr>
            <w:r>
              <w:rPr>
                <w:rFonts w:hint="eastAsia" w:ascii="宋体" w:hAnsi="宋体" w:eastAsia="宋体" w:cstheme="minorEastAsia"/>
                <w:sz w:val="21"/>
                <w:szCs w:val="21"/>
              </w:rPr>
              <w:t>≤20</w:t>
            </w:r>
          </w:p>
        </w:tc>
        <w:tc>
          <w:tcPr>
            <w:tcW w:w="684" w:type="dxa"/>
            <w:tcBorders>
              <w:top w:val="single" w:color="auto" w:sz="4" w:space="0"/>
              <w:left w:val="nil"/>
              <w:bottom w:val="single" w:color="auto" w:sz="4" w:space="0"/>
              <w:right w:val="single" w:color="auto" w:sz="4" w:space="0"/>
            </w:tcBorders>
            <w:vAlign w:val="center"/>
          </w:tcPr>
          <w:p w14:paraId="197FA5DA">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码垛</w:t>
            </w:r>
          </w:p>
        </w:tc>
      </w:tr>
      <w:tr w14:paraId="085397C0">
        <w:tblPrEx>
          <w:tblCellMar>
            <w:top w:w="0" w:type="dxa"/>
            <w:left w:w="108" w:type="dxa"/>
            <w:bottom w:w="0" w:type="dxa"/>
            <w:right w:w="108" w:type="dxa"/>
          </w:tblCellMar>
        </w:tblPrEx>
        <w:trPr>
          <w:trHeight w:val="415" w:hRule="atLeast"/>
          <w:jc w:val="center"/>
        </w:trPr>
        <w:tc>
          <w:tcPr>
            <w:tcW w:w="1317" w:type="dxa"/>
            <w:tcBorders>
              <w:top w:val="single" w:color="auto" w:sz="4" w:space="0"/>
              <w:left w:val="single" w:color="auto" w:sz="4" w:space="0"/>
              <w:bottom w:val="single" w:color="auto" w:sz="4" w:space="0"/>
              <w:right w:val="single" w:color="auto" w:sz="4" w:space="0"/>
            </w:tcBorders>
            <w:vAlign w:val="center"/>
          </w:tcPr>
          <w:p w14:paraId="17A45CDC">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纸杯机机台纸箱尺寸范围</w:t>
            </w:r>
          </w:p>
        </w:tc>
        <w:tc>
          <w:tcPr>
            <w:tcW w:w="3733" w:type="dxa"/>
            <w:tcBorders>
              <w:top w:val="single" w:color="auto" w:sz="4" w:space="0"/>
              <w:left w:val="nil"/>
              <w:bottom w:val="single" w:color="auto" w:sz="4" w:space="0"/>
              <w:right w:val="single" w:color="auto" w:sz="4" w:space="0"/>
            </w:tcBorders>
            <w:vAlign w:val="center"/>
          </w:tcPr>
          <w:p w14:paraId="178B2BC8">
            <w:pPr>
              <w:tabs>
                <w:tab w:val="center" w:pos="4537"/>
              </w:tabs>
              <w:ind w:firstLine="0" w:firstLineChars="0"/>
              <w:jc w:val="left"/>
              <w:rPr>
                <w:rFonts w:hint="eastAsia" w:ascii="宋体" w:hAnsi="宋体" w:eastAsia="宋体" w:cstheme="minorEastAsia"/>
                <w:sz w:val="21"/>
                <w:szCs w:val="21"/>
              </w:rPr>
            </w:pPr>
            <w:r>
              <w:rPr>
                <w:rFonts w:hint="eastAsia" w:ascii="宋体" w:hAnsi="宋体" w:eastAsia="宋体"/>
                <w:sz w:val="21"/>
                <w:szCs w:val="21"/>
              </w:rPr>
              <w:t>L</w:t>
            </w:r>
            <w:r>
              <w:rPr>
                <w:rFonts w:ascii="宋体" w:hAnsi="宋体" w:eastAsia="宋体"/>
                <w:sz w:val="21"/>
                <w:szCs w:val="21"/>
              </w:rPr>
              <w:t>350</w:t>
            </w:r>
            <w:r>
              <w:rPr>
                <w:rFonts w:hint="eastAsia" w:ascii="宋体" w:hAnsi="宋体" w:eastAsia="宋体"/>
                <w:sz w:val="21"/>
                <w:szCs w:val="21"/>
              </w:rPr>
              <w:t>-500*W2</w:t>
            </w:r>
            <w:r>
              <w:rPr>
                <w:rFonts w:ascii="宋体" w:hAnsi="宋体" w:eastAsia="宋体"/>
                <w:sz w:val="21"/>
                <w:szCs w:val="21"/>
              </w:rPr>
              <w:t>3</w:t>
            </w:r>
            <w:r>
              <w:rPr>
                <w:rFonts w:hint="eastAsia" w:ascii="宋体" w:hAnsi="宋体" w:eastAsia="宋体"/>
                <w:sz w:val="21"/>
                <w:szCs w:val="21"/>
              </w:rPr>
              <w:t>0-650*H</w:t>
            </w:r>
            <w:r>
              <w:rPr>
                <w:rFonts w:ascii="宋体" w:hAnsi="宋体" w:eastAsia="宋体"/>
                <w:sz w:val="21"/>
                <w:szCs w:val="21"/>
              </w:rPr>
              <w:t>150</w:t>
            </w:r>
            <w:r>
              <w:rPr>
                <w:rFonts w:hint="eastAsia" w:ascii="宋体" w:hAnsi="宋体" w:eastAsia="宋体"/>
                <w:sz w:val="21"/>
                <w:szCs w:val="21"/>
              </w:rPr>
              <w:t>-500mm</w:t>
            </w:r>
          </w:p>
        </w:tc>
        <w:tc>
          <w:tcPr>
            <w:tcW w:w="1872" w:type="dxa"/>
            <w:tcBorders>
              <w:top w:val="single" w:color="auto" w:sz="4" w:space="0"/>
              <w:left w:val="nil"/>
              <w:bottom w:val="single" w:color="auto" w:sz="4" w:space="0"/>
              <w:right w:val="single" w:color="auto" w:sz="4" w:space="0"/>
            </w:tcBorders>
            <w:vAlign w:val="center"/>
          </w:tcPr>
          <w:p w14:paraId="511B528D">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≤30</w:t>
            </w:r>
          </w:p>
        </w:tc>
        <w:tc>
          <w:tcPr>
            <w:tcW w:w="684" w:type="dxa"/>
            <w:tcBorders>
              <w:top w:val="single" w:color="auto" w:sz="4" w:space="0"/>
              <w:left w:val="nil"/>
              <w:bottom w:val="single" w:color="auto" w:sz="4" w:space="0"/>
              <w:right w:val="single" w:color="auto" w:sz="4" w:space="0"/>
            </w:tcBorders>
            <w:vAlign w:val="center"/>
          </w:tcPr>
          <w:p w14:paraId="203ABC39">
            <w:pPr>
              <w:ind w:firstLine="0" w:firstLineChars="0"/>
              <w:jc w:val="left"/>
              <w:rPr>
                <w:rFonts w:hint="eastAsia" w:ascii="宋体" w:hAnsi="宋体" w:eastAsia="宋体" w:cstheme="minorEastAsia"/>
                <w:sz w:val="21"/>
                <w:szCs w:val="21"/>
              </w:rPr>
            </w:pPr>
            <w:r>
              <w:rPr>
                <w:rFonts w:hint="eastAsia" w:ascii="宋体" w:hAnsi="宋体" w:eastAsia="宋体" w:cstheme="minorEastAsia"/>
                <w:sz w:val="21"/>
                <w:szCs w:val="21"/>
              </w:rPr>
              <w:t>码垛</w:t>
            </w:r>
          </w:p>
        </w:tc>
      </w:tr>
    </w:tbl>
    <w:p w14:paraId="09F14757">
      <w:pPr>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注：托盘：1200×1200×160mm，码垛高度≤1700mm</w:t>
      </w:r>
    </w:p>
    <w:p w14:paraId="084A9CFD">
      <w:pPr>
        <w:pStyle w:val="20"/>
        <w:ind w:firstLine="480"/>
        <w:jc w:val="left"/>
        <w:rPr>
          <w:rFonts w:hint="eastAsia" w:asciiTheme="minorEastAsia" w:hAnsiTheme="minorEastAsia" w:cstheme="minorEastAsia"/>
          <w:szCs w:val="24"/>
        </w:rPr>
      </w:pPr>
      <w:r>
        <w:rPr>
          <w:rFonts w:hint="eastAsia" w:asciiTheme="minorEastAsia" w:hAnsiTheme="minorEastAsia" w:cstheme="minorEastAsia"/>
          <w:szCs w:val="24"/>
        </w:rPr>
        <w:t>系统要求，机械手能够满足项目现场的使用需求，一台码垛机械手对应4种SKU；10台拆垛机械手满足入库效率约2200箱/小时。</w:t>
      </w:r>
    </w:p>
    <w:p w14:paraId="31755B38">
      <w:pPr>
        <w:pStyle w:val="20"/>
        <w:ind w:firstLine="480"/>
        <w:jc w:val="left"/>
        <w:rPr>
          <w:rFonts w:hint="eastAsia" w:asciiTheme="minorEastAsia" w:hAnsiTheme="minorEastAsia" w:cstheme="minorEastAsia"/>
          <w:szCs w:val="24"/>
        </w:rPr>
      </w:pPr>
      <w:r>
        <w:rPr>
          <w:rFonts w:hint="eastAsia" w:asciiTheme="minorEastAsia" w:hAnsiTheme="minorEastAsia" w:cstheme="minorEastAsia"/>
          <w:szCs w:val="24"/>
        </w:rPr>
        <w:t>每台码垛机器人对应一条箱式输送线（每条输送线4种箱规），并将纸箱码放到对应的4个空托盘上。</w:t>
      </w:r>
    </w:p>
    <w:p w14:paraId="7E394DDB">
      <w:pPr>
        <w:ind w:firstLine="0" w:firstLineChars="0"/>
        <w:jc w:val="left"/>
        <w:rPr>
          <w:rFonts w:hint="eastAsia" w:asciiTheme="minorEastAsia" w:hAnsiTheme="minorEastAsia" w:cstheme="minorEastAsia"/>
          <w:szCs w:val="24"/>
        </w:rPr>
      </w:pPr>
      <w:bookmarkStart w:id="93" w:name="_Toc316980702"/>
      <w:bookmarkStart w:id="94" w:name="_Toc316980613"/>
      <w:r>
        <w:rPr>
          <w:rFonts w:hint="eastAsia" w:asciiTheme="minorEastAsia" w:hAnsiTheme="minorEastAsia" w:cstheme="minorEastAsia"/>
          <w:szCs w:val="24"/>
        </w:rPr>
        <w:t>每垛码垛前，输送机控制系统告知机器人纸箱的尺寸类型及垛型类型。</w:t>
      </w:r>
    </w:p>
    <w:p w14:paraId="776CB494">
      <w:pPr>
        <w:ind w:firstLine="480"/>
        <w:jc w:val="left"/>
        <w:rPr>
          <w:rFonts w:hint="eastAsia" w:asciiTheme="minorEastAsia" w:hAnsiTheme="minorEastAsia" w:cstheme="minorEastAsia"/>
          <w:szCs w:val="24"/>
        </w:rPr>
      </w:pPr>
      <w:r>
        <w:rPr>
          <w:rFonts w:hint="eastAsia" w:asciiTheme="minorEastAsia" w:hAnsiTheme="minorEastAsia" w:cstheme="minorEastAsia"/>
          <w:szCs w:val="24"/>
        </w:rPr>
        <w:t>码垛完成后，每垛的外形尺寸：允许偏差范围，纸箱实际尺寸之和+10mm；</w:t>
      </w:r>
      <w:bookmarkEnd w:id="93"/>
      <w:bookmarkEnd w:id="94"/>
    </w:p>
    <w:p w14:paraId="205892DF">
      <w:pPr>
        <w:pStyle w:val="20"/>
        <w:ind w:firstLine="0" w:firstLineChars="0"/>
        <w:jc w:val="center"/>
      </w:pPr>
      <w:r>
        <mc:AlternateContent>
          <mc:Choice Requires="wps">
            <w:drawing>
              <wp:anchor distT="0" distB="0" distL="114300" distR="114300" simplePos="0" relativeHeight="251662336" behindDoc="0" locked="0" layoutInCell="1" allowOverlap="1">
                <wp:simplePos x="0" y="0"/>
                <wp:positionH relativeFrom="column">
                  <wp:posOffset>3026410</wp:posOffset>
                </wp:positionH>
                <wp:positionV relativeFrom="paragraph">
                  <wp:posOffset>2326005</wp:posOffset>
                </wp:positionV>
                <wp:extent cx="922655" cy="914400"/>
                <wp:effectExtent l="4445" t="4445" r="17780" b="10795"/>
                <wp:wrapNone/>
                <wp:docPr id="13" name="文本框 13"/>
                <wp:cNvGraphicFramePr/>
                <a:graphic xmlns:a="http://schemas.openxmlformats.org/drawingml/2006/main">
                  <a:graphicData uri="http://schemas.microsoft.com/office/word/2010/wordprocessingShape">
                    <wps:wsp>
                      <wps:cNvSpPr txBox="1"/>
                      <wps:spPr>
                        <a:xfrm>
                          <a:off x="0" y="0"/>
                          <a:ext cx="922655"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644B8A">
                            <w:pPr>
                              <w:ind w:firstLine="0" w:firstLineChars="0"/>
                            </w:pPr>
                            <w:r>
                              <w:rPr>
                                <w:rFonts w:hint="eastAsia"/>
                              </w:rPr>
                              <w:t>码垛位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pt;margin-top:183.15pt;height:72pt;width:72.65pt;z-index:251662336;mso-width-relative:page;mso-height-relative:page;" fillcolor="#FFFFFF [3201]" filled="t" stroked="t" coordsize="21600,21600" o:gfxdata="UEsDBAoAAAAAAIdO4kAAAAAAAAAAAAAAAAAEAAAAZHJzL1BLAwQUAAAACACHTuJAHd/+NtgAAAAL&#10;AQAADwAAAGRycy9kb3ducmV2LnhtbE2Py07DMBBF90j8gzVI7KidGAykmVQCCQmxo82GnRtPk6h+&#10;RLHblL/HrGA5ukf3nqk3F2fZmeY4Bo9QrAQw8l0wo+8R2t3b3ROwmLQ32gZPCN8UYdNcX9W6MmHx&#10;n3Tepp7lEh8rjTCkNFWcx24gp+MqTORzdgiz0ymfc8/NrJdc7iwvhVDc6dHnhUFP9DpQd9yeHMK7&#10;eklf1JoPI0sZlpZ388FGxNubQqyBJbqkPxh+9bM6NNlpH07eRGYR7h+VyiiCVEoCy4Qqi2dge4SH&#10;QkjgTc3//9D8AFBLAwQUAAAACACHTuJA+syE0lkCAAC4BAAADgAAAGRycy9lMm9Eb2MueG1srVTN&#10;bhMxEL4j8Q6W73STtCk06qYKrYKQKlopIM6O15u18B+2k93yAPAGnLhw57n6HHz2Jukfhx7Yg3c8&#10;M/vNzDcze3rWaUU2wgdpTUmHBwNKhOG2kmZV0k8f56/eUBIiMxVT1oiS3ohAz6YvX5y2biJGtrGq&#10;Ep4AxIRJ60raxOgmRRF4IzQLB9YJA2NtvWYRV78qKs9aoGtVjAaD46K1vnLechECtBe9kW4R/XMA&#10;bV1LLi4sX2thYo/qhWIRJYVGukCnOdu6Fjxe1XUQkaiSotKYTwSBvExnMT1lk5VnrpF8mwJ7TgqP&#10;atJMGgTdQ12wyMjayydQWnJvg63jAbe66AvJjKCK4eARN4uGOZFrAdXB7UkP/w+Wf9hceyIrTMIh&#10;JYZpdPz254/bX39uf38n0IGg1oUJ/BYOnrF7azs47/QBylR3V3ud3qiIwA56b/b0ii4SDuXJaHQ8&#10;HlPCYToZHh0NMv3F3cfOh/hOWE2SUFKP7mVS2eYyRCQC151LihWsktVcKpUvfrU8V55sGDo9z0/K&#10;EZ88cFOGtCU9PhwPMvIDW8LeQywV41+eIgBPGcAmTvrakxS7ZbclammrG/DkbT9qwfG5BO4lC/Ga&#10;ecwWqMH2xSsctbJIxm4lShrrv/1Ln/zRclgpaTGrJQ1f18wLStR7g2HIZGK48+Vo/HqEGP6+ZXnf&#10;Ytb63IKkIfbc8Swm/6h2Yu2t/owlnaWoMDHDEbukcSeex36DsORczGbZCePsWLw0C8cTdGqJsbN1&#10;tLXMrUs09dxs2cNA5/Zsly9tzP179rr74U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3f/jbY&#10;AAAACwEAAA8AAAAAAAAAAQAgAAAAIgAAAGRycy9kb3ducmV2LnhtbFBLAQIUABQAAAAIAIdO4kD6&#10;zITSWQIAALgEAAAOAAAAAAAAAAEAIAAAACcBAABkcnMvZTJvRG9jLnhtbFBLBQYAAAAABgAGAFkB&#10;AADyBQAAAAA=&#10;">
                <v:fill on="t" focussize="0,0"/>
                <v:stroke weight="0.5pt" color="#000000 [3204]" joinstyle="round"/>
                <v:imagedata o:title=""/>
                <o:lock v:ext="edit" aspectratio="f"/>
                <v:textbox>
                  <w:txbxContent>
                    <w:p w14:paraId="33644B8A">
                      <w:pPr>
                        <w:ind w:firstLine="0" w:firstLineChars="0"/>
                      </w:pPr>
                      <w:r>
                        <w:rPr>
                          <w:rFonts w:hint="eastAsia"/>
                        </w:rPr>
                        <w:t>码垛位</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1256665</wp:posOffset>
                </wp:positionH>
                <wp:positionV relativeFrom="paragraph">
                  <wp:posOffset>2334895</wp:posOffset>
                </wp:positionV>
                <wp:extent cx="922655" cy="914400"/>
                <wp:effectExtent l="4445" t="4445" r="17780" b="10795"/>
                <wp:wrapNone/>
                <wp:docPr id="12" name="文本框 12"/>
                <wp:cNvGraphicFramePr/>
                <a:graphic xmlns:a="http://schemas.openxmlformats.org/drawingml/2006/main">
                  <a:graphicData uri="http://schemas.microsoft.com/office/word/2010/wordprocessingShape">
                    <wps:wsp>
                      <wps:cNvSpPr txBox="1"/>
                      <wps:spPr>
                        <a:xfrm>
                          <a:off x="0" y="0"/>
                          <a:ext cx="922655"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A85CBF">
                            <w:pPr>
                              <w:ind w:firstLine="0" w:firstLineChars="0"/>
                            </w:pPr>
                            <w:r>
                              <w:rPr>
                                <w:rFonts w:hint="eastAsia"/>
                              </w:rPr>
                              <w:t>码垛位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95pt;margin-top:183.85pt;height:72pt;width:72.65pt;z-index:251661312;mso-width-relative:page;mso-height-relative:page;" fillcolor="#FFFFFF [3201]" filled="t" stroked="t" coordsize="21600,21600" o:gfxdata="UEsDBAoAAAAAAIdO4kAAAAAAAAAAAAAAAAAEAAAAZHJzL1BLAwQUAAAACACHTuJA9JJFzdgAAAAL&#10;AQAADwAAAGRycy9kb3ducmV2LnhtbE2Py07DMBBF90j8gzVI7KiTGBIa4lQCCQmxo82GnRtPkwg/&#10;Itttyt8zrNrl1Rzde6bZnK1hJwxx8k5CvsqAoeu9ntwgodu9PzwDi0k5rYx3KOEXI2za25tG1dov&#10;7gtP2zQwKnGxVhLGlOaa89iPaFVc+Rkd3Q4+WJUohoHroBYqt4YXWVZyqyZHC6Oa8W3E/md7tBI+&#10;ytf0jZ3+1KIQful4Hw4mSnl/l2cvwBKe0wWGf31Sh5ac9v7odGSG8rpaEypBlFUFjAjxKApgewlP&#10;eV4Bbxt+/UP7B1BLAwQUAAAACACHTuJAvqO5ZVkCAAC4BAAADgAAAGRycy9lMm9Eb2MueG1srVTN&#10;bhMxEL4j8Q6W73ST0BQadVOFVkFIFa1UEGfH681a+A/byW55APoGnLhw57nyHHz2Jukfhx7Yg3c8&#10;M/vNzDcze3LaaUXWwgdpTUmHBwNKhOG2kmZZ0s+f5q/eUhIiMxVT1oiS3ohAT6cvX5y0biJGtrGq&#10;Ep4AxIRJ60raxOgmRRF4IzQLB9YJA2NtvWYRV78sKs9aoGtVjAaDo6K1vnLechECtOe9kW4R/XMA&#10;bV1LLs4tX2lhYo/qhWIRJYVGukCnOdu6Fjxe1nUQkaiSotKYTwSBvEhnMT1hk6VnrpF8mwJ7TgqP&#10;atJMGgTdQ52zyMjKyydQWnJvg63jAbe66AvJjKCK4eARN9cNcyLXAqqD25Me/h8s/7i+8kRWmIQR&#10;JYZpdHzz83bz68/m9w8CHQhqXZjA79rBM3bvbAfnnT5Ameruaq/TGxUR2EHvzZ5e0UXCoTwejY7G&#10;Y0o4TMfDw8NBpr+4+9j5EN8Lq0kSSurRvUwqW1+EiETgunNJsYJVsppLpfLFLxdnypM1Q6fn+Uk5&#10;4pMHbsqQtqRHr8eDjPzAlrD3EAvF+NenCMBTBrCJk772JMVu0W2JWtjqBjx5249acHwugXvBQrxi&#10;HrMFarB98RJHrSySsVuJksb67//SJ3+0HFZKWsxqScO3FfOCEvXBYBgymRjufDkcvxkhhr9vWdy3&#10;mJU+syBpiD13PIvJP6qdWHurv2BJZykqTMxwxC5p3Ilnsd8gLDkXs1l2wjg7Fi/MteMJOrXE2Nkq&#10;2lrm1iWaem627GGgc3u2y5c25v49e939cK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SSRc3Y&#10;AAAACwEAAA8AAAAAAAAAAQAgAAAAIgAAAGRycy9kb3ducmV2LnhtbFBLAQIUABQAAAAIAIdO4kC+&#10;o7llWQIAALgEAAAOAAAAAAAAAAEAIAAAACcBAABkcnMvZTJvRG9jLnhtbFBLBQYAAAAABgAGAFkB&#10;AADyBQAAAAA=&#10;">
                <v:fill on="t" focussize="0,0"/>
                <v:stroke weight="0.5pt" color="#000000 [3204]" joinstyle="round"/>
                <v:imagedata o:title=""/>
                <o:lock v:ext="edit" aspectratio="f"/>
                <v:textbox>
                  <w:txbxContent>
                    <w:p w14:paraId="46A85CBF">
                      <w:pPr>
                        <w:ind w:firstLine="0" w:firstLineChars="0"/>
                      </w:pPr>
                      <w:r>
                        <w:rPr>
                          <w:rFonts w:hint="eastAsia"/>
                        </w:rPr>
                        <w:t>码垛位</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3017520</wp:posOffset>
                </wp:positionH>
                <wp:positionV relativeFrom="paragraph">
                  <wp:posOffset>582295</wp:posOffset>
                </wp:positionV>
                <wp:extent cx="922655" cy="914400"/>
                <wp:effectExtent l="4445" t="4445" r="17780" b="10795"/>
                <wp:wrapNone/>
                <wp:docPr id="11" name="文本框 11"/>
                <wp:cNvGraphicFramePr/>
                <a:graphic xmlns:a="http://schemas.openxmlformats.org/drawingml/2006/main">
                  <a:graphicData uri="http://schemas.microsoft.com/office/word/2010/wordprocessingShape">
                    <wps:wsp>
                      <wps:cNvSpPr txBox="1"/>
                      <wps:spPr>
                        <a:xfrm>
                          <a:off x="0" y="0"/>
                          <a:ext cx="922655"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809083">
                            <w:pPr>
                              <w:ind w:firstLine="0" w:firstLineChars="0"/>
                            </w:pPr>
                            <w:r>
                              <w:rPr>
                                <w:rFonts w:hint="eastAsia"/>
                              </w:rPr>
                              <w:t>码垛位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6pt;margin-top:45.85pt;height:72pt;width:72.65pt;z-index:251660288;mso-width-relative:page;mso-height-relative:page;" fillcolor="#FFFFFF [3201]" filled="t" stroked="t" coordsize="21600,21600" o:gfxdata="UEsDBAoAAAAAAIdO4kAAAAAAAAAAAAAAAAAEAAAAZHJzL1BLAwQUAAAACACHTuJABat+XNcAAAAK&#10;AQAADwAAAGRycy9kb3ducmV2LnhtbE2PwU7DMBBE70j8g7VI3KgdhyQQ4lQCCQlxo82Fmxtvkwh7&#10;HcVuU/4ec4Ljap5m3jbbi7PsjEuYPCnINgIYUu/NRIOCbv969wAsRE1GW0+o4BsDbNvrq0bXxq/0&#10;geddHFgqoVBrBWOMc8156Ed0Omz8jJSyo1+cjulcBm4WvaZyZ7kUouROT5QWRj3jy4j91+7kFLyV&#10;z/ETO/Nucpn7teP9crRBqdubTDwBi3iJfzD86id1aJPTwZ/IBGYV3FeFTKiCx6wCloBSigLYQYHM&#10;iwp42/D/L7Q/UEsDBBQAAAAIAIdO4kAzFI9nWAIAALgEAAAOAAAAZHJzL2Uyb0RvYy54bWytVM1u&#10;EzEQviPxDpbvdJPQFBp1U4VWQUgVrVQQZ8frzVr4D9vJbnkA+gacuHDnufIcfPYm6R+HHtiDdzwz&#10;+83MNzN7ctppRdbCB2lNSYcHA0qE4baSZlnSz5/mr95SEiIzFVPWiJLeiEBPpy9fnLRuIka2saoS&#10;ngDEhEnrStrE6CZFEXgjNAsH1gkDY229ZhFXvywqz1qga1WMBoOjorW+ct5yEQK0572RbhH9cwBt&#10;XUsuzi1faWFij+qFYhElhUa6QKc527oWPF7WdRCRqJKi0phPBIG8SGcxPWGTpWeukXybAntOCo9q&#10;0kwaBN1DnbPIyMrLJ1Bacm+DreMBt7roC8mMoIrh4BE31w1zItcCqoPbkx7+Hyz/uL7yRFaYhCEl&#10;hml0fPPzdvPrz+b3DwIdCGpdmMDv2sEzdu9sB+edPkCZ6u5qr9MbFRHYQe/Nnl7RRcKhPB6NjsZj&#10;SjhMx8PDw0Gmv7j72PkQ3wurSRJK6tG9TCpbX4SIROC6c0mxglWymkul8sUvF2fKkzVDp+f5STni&#10;kwduypC2pEevx4OM/MCWsPcQC8X416cIwFMGsImTvvYkxW7RbYla2OoGPHnbj1pwfC6Be8FCvGIe&#10;swVqsH3xEketLJKxW4mSxvrv/9Inf7QcVkpazGpJw7cV84IS9cFgGDKZGO58ORy/GSGGv29Z3LeY&#10;lT6zIAn9RnZZTP5R7cTaW/0FSzpLUWFihiN2SeNOPIv9BmHJuZjNshPG2bF4Ya4dT9CpJcbOVtHW&#10;Mrcu0dRzs2UPA53bs12+tDH379nr7o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q35c1wAA&#10;AAoBAAAPAAAAAAAAAAEAIAAAACIAAABkcnMvZG93bnJldi54bWxQSwECFAAUAAAACACHTuJAMxSP&#10;Z1gCAAC4BAAADgAAAAAAAAABACAAAAAmAQAAZHJzL2Uyb0RvYy54bWxQSwUGAAAAAAYABgBZAQAA&#10;8AUAAAAA&#10;">
                <v:fill on="t" focussize="0,0"/>
                <v:stroke weight="0.5pt" color="#000000 [3204]" joinstyle="round"/>
                <v:imagedata o:title=""/>
                <o:lock v:ext="edit" aspectratio="f"/>
                <v:textbox>
                  <w:txbxContent>
                    <w:p w14:paraId="0B809083">
                      <w:pPr>
                        <w:ind w:firstLine="0" w:firstLineChars="0"/>
                      </w:pPr>
                      <w:r>
                        <w:rPr>
                          <w:rFonts w:hint="eastAsia"/>
                        </w:rPr>
                        <w:t>码垛位</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1281430</wp:posOffset>
                </wp:positionH>
                <wp:positionV relativeFrom="paragraph">
                  <wp:posOffset>565785</wp:posOffset>
                </wp:positionV>
                <wp:extent cx="922655" cy="914400"/>
                <wp:effectExtent l="4445" t="4445" r="17780" b="10795"/>
                <wp:wrapNone/>
                <wp:docPr id="10" name="文本框 10"/>
                <wp:cNvGraphicFramePr/>
                <a:graphic xmlns:a="http://schemas.openxmlformats.org/drawingml/2006/main">
                  <a:graphicData uri="http://schemas.microsoft.com/office/word/2010/wordprocessingShape">
                    <wps:wsp>
                      <wps:cNvSpPr txBox="1"/>
                      <wps:spPr>
                        <a:xfrm>
                          <a:off x="2424430" y="6530975"/>
                          <a:ext cx="922655"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6ADACE">
                            <w:pPr>
                              <w:ind w:firstLine="0" w:firstLineChars="0"/>
                            </w:pPr>
                            <w:r>
                              <w:rPr>
                                <w:rFonts w:hint="eastAsia"/>
                              </w:rPr>
                              <w:t>码垛位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9pt;margin-top:44.55pt;height:72pt;width:72.65pt;z-index:251659264;mso-width-relative:page;mso-height-relative:page;" fillcolor="#FFFFFF [3201]" filled="t" stroked="t" coordsize="21600,21600" o:gfxdata="UEsDBAoAAAAAAIdO4kAAAAAAAAAAAAAAAAAEAAAAZHJzL1BLAwQUAAAACACHTuJAkX12rNYAAAAK&#10;AQAADwAAAGRycy9kb3ducmV2LnhtbE2PzU7DMBCE70i8g7VI3KjtGJUS4lQCCQlxo82Fmxtvkwj/&#10;RLbblLdnOcFtVjOa+bbZXrxjZ0x5ikGDXAlgGPpopzBo6PavdxtguZhgjYsBNXxjhm17fdWY2sYl&#10;fOB5VwZGJSHXRsNYylxznvsRvcmrOGMg7xiTN4XONHCbzELl3vFKiDX3Zgq0MJoZX0bsv3Ynr+Ft&#10;/Vw+sbPvVlUqLh3v09FlrW9vpHgCVvBS/sLwi0/o0BLTIZ6CzcxpqIQk9KJh8yiBUUDdP5A4kKOU&#10;BN42/P8L7Q9QSwMEFAAAAAgAh07iQEm0mU5kAgAAxAQAAA4AAABkcnMvZTJvRG9jLnhtbK1UzW4T&#10;MRC+I/EOlu90N9ukpVE3VWgVhFTRSgVxdrzerIXXNraT3fIA9A04ceHOc/U5+OxN+suhB3Jwxp4v&#10;38x8M5Pjk75VZCOcl0aXdLSXUyI0N5XUq5J+/rR485YSH5iumDJalPRaeHoye/3quLNTUZjGqEo4&#10;AhLtp50taROCnWaZ541omd8zVmg4a+NaFnB1q6xyrAN7q7Iizw+yzrjKOsOF93g9G5x0y+heQmjq&#10;WnJxZvi6FToMrE4oFlCSb6T1dJayrWvBw0VdexGIKikqDelEENjLeGazYzZdOWYbybcpsJek8KSm&#10;lkmNoHdUZywwsnbyGVUruTPe1GGPmzYbCkmKoIpR/kSbq4ZZkWqB1N7eie7/Hy3/uLl0RFaYBEii&#10;WYuO3/68uf315/b3D4I3CNRZPwXuygIZ+nemB3j37vEY6+5r18ZvVETgL8bFeLwPxuuSHkz286PD&#10;ySC16APhABwVxcFkQgkH4Gg0HucpUnZPZJ0P74VpSTRK6tDJJDDbnPuApADdQWJcb5SsFlKpdHGr&#10;5alyZMPQ9UX6xOj4ySOY0qRDevuTPDE/8kXuO4qlYvzrcwbwKQ3aqM+gQ7RCv+y3oi1NdQ3NnBnG&#10;zlu+kOA9Zz5cMoc5g0DYxHCBo1YGyZitRUlj3Pd/vUc82g8vJR3mtqT+25o5QYn6oDEYSUwMerqM&#10;J4cFYriHnuVDj163pwYijbDzlicz4oPambUz7Rcs7DxGhYtpjtglDTvzNAzbhIXnYj5PIIy2ZeFc&#10;X1keqWNLtJmvg6llal2UadBmqx6GO7Vnu4hxex7eE+r+z2f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F9dqzWAAAACgEAAA8AAAAAAAAAAQAgAAAAIgAAAGRycy9kb3ducmV2LnhtbFBLAQIUABQA&#10;AAAIAIdO4kBJtJlOZAIAAMQEAAAOAAAAAAAAAAEAIAAAACUBAABkcnMvZTJvRG9jLnhtbFBLBQYA&#10;AAAABgAGAFkBAAD7BQAAAAA=&#10;">
                <v:fill on="t" focussize="0,0"/>
                <v:stroke weight="0.5pt" color="#000000 [3204]" joinstyle="round"/>
                <v:imagedata o:title=""/>
                <o:lock v:ext="edit" aspectratio="f"/>
                <v:textbox>
                  <w:txbxContent>
                    <w:p w14:paraId="266ADACE">
                      <w:pPr>
                        <w:ind w:firstLine="0" w:firstLineChars="0"/>
                      </w:pPr>
                      <w:r>
                        <w:rPr>
                          <w:rFonts w:hint="eastAsia"/>
                        </w:rPr>
                        <w:t>码垛位</w:t>
                      </w:r>
                    </w:p>
                  </w:txbxContent>
                </v:textbox>
              </v:shape>
            </w:pict>
          </mc:Fallback>
        </mc:AlternateContent>
      </w:r>
      <w:r>
        <w:drawing>
          <wp:inline distT="0" distB="0" distL="114300" distR="114300">
            <wp:extent cx="4131310" cy="3712845"/>
            <wp:effectExtent l="0" t="0" r="2540" b="190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0"/>
                    <a:stretch>
                      <a:fillRect/>
                    </a:stretch>
                  </pic:blipFill>
                  <pic:spPr>
                    <a:xfrm>
                      <a:off x="0" y="0"/>
                      <a:ext cx="4142604" cy="3722995"/>
                    </a:xfrm>
                    <a:prstGeom prst="rect">
                      <a:avLst/>
                    </a:prstGeom>
                    <a:noFill/>
                    <a:ln>
                      <a:noFill/>
                    </a:ln>
                  </pic:spPr>
                </pic:pic>
              </a:graphicData>
            </a:graphic>
          </wp:inline>
        </w:drawing>
      </w:r>
    </w:p>
    <w:p w14:paraId="0107274B">
      <w:pPr>
        <w:pStyle w:val="20"/>
        <w:ind w:firstLine="0" w:firstLineChars="0"/>
        <w:jc w:val="center"/>
      </w:pPr>
      <w:r>
        <w:drawing>
          <wp:inline distT="0" distB="0" distL="114300" distR="114300">
            <wp:extent cx="3651885" cy="1970405"/>
            <wp:effectExtent l="0" t="0" r="5715" b="1079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1"/>
                    <a:stretch>
                      <a:fillRect/>
                    </a:stretch>
                  </pic:blipFill>
                  <pic:spPr>
                    <a:xfrm>
                      <a:off x="0" y="0"/>
                      <a:ext cx="3651885" cy="1970405"/>
                    </a:xfrm>
                    <a:prstGeom prst="rect">
                      <a:avLst/>
                    </a:prstGeom>
                    <a:noFill/>
                    <a:ln>
                      <a:noFill/>
                    </a:ln>
                  </pic:spPr>
                </pic:pic>
              </a:graphicData>
            </a:graphic>
          </wp:inline>
        </w:drawing>
      </w:r>
    </w:p>
    <w:p w14:paraId="0A7B1728">
      <w:pPr>
        <w:pStyle w:val="20"/>
        <w:ind w:firstLine="0" w:firstLineChars="0"/>
        <w:jc w:val="left"/>
        <w:rPr>
          <w:rFonts w:hint="eastAsia" w:asciiTheme="minorEastAsia" w:hAnsiTheme="minorEastAsia" w:cstheme="minorEastAsia"/>
          <w:szCs w:val="24"/>
        </w:rPr>
      </w:pPr>
      <w:bookmarkStart w:id="95" w:name="_Toc15677"/>
      <w:bookmarkStart w:id="96" w:name="_Toc8437"/>
      <w:bookmarkStart w:id="97" w:name="_Toc425952171"/>
      <w:bookmarkStart w:id="98" w:name="_Toc186389162"/>
      <w:bookmarkStart w:id="99" w:name="_Toc18028"/>
      <w:bookmarkStart w:id="100" w:name="_Toc316980578"/>
      <w:bookmarkStart w:id="101" w:name="_Toc316980667"/>
      <w:r>
        <w:rPr>
          <w:rFonts w:hint="eastAsia" w:asciiTheme="minorEastAsia" w:hAnsiTheme="minorEastAsia" w:cstheme="minorEastAsia"/>
          <w:szCs w:val="24"/>
        </w:rPr>
        <w:t>性能要求</w:t>
      </w:r>
      <w:bookmarkEnd w:id="95"/>
      <w:bookmarkEnd w:id="96"/>
      <w:bookmarkEnd w:id="97"/>
      <w:bookmarkEnd w:id="98"/>
      <w:bookmarkEnd w:id="99"/>
    </w:p>
    <w:p w14:paraId="2F3401C5">
      <w:pPr>
        <w:pStyle w:val="20"/>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机器人工作时不能影响周边设备的正常运行。</w:t>
      </w:r>
    </w:p>
    <w:bookmarkEnd w:id="100"/>
    <w:bookmarkEnd w:id="101"/>
    <w:p w14:paraId="7934B64C">
      <w:pPr>
        <w:pStyle w:val="20"/>
        <w:ind w:firstLine="0" w:firstLineChars="0"/>
        <w:jc w:val="left"/>
        <w:rPr>
          <w:rFonts w:hint="eastAsia" w:asciiTheme="minorEastAsia" w:hAnsiTheme="minorEastAsia" w:cstheme="minorEastAsia"/>
          <w:szCs w:val="24"/>
        </w:rPr>
      </w:pPr>
      <w:bookmarkStart w:id="102" w:name="_Toc22314"/>
      <w:bookmarkStart w:id="103" w:name="_Toc186389163"/>
      <w:bookmarkStart w:id="104" w:name="_Toc7456"/>
      <w:bookmarkStart w:id="105" w:name="_Toc5434"/>
      <w:r>
        <w:rPr>
          <w:rFonts w:hint="eastAsia" w:asciiTheme="minorEastAsia" w:hAnsiTheme="minorEastAsia" w:cstheme="minorEastAsia"/>
          <w:szCs w:val="24"/>
        </w:rPr>
        <w:t>单台机器人掉箱率小于十万分之一</w:t>
      </w:r>
      <w:bookmarkEnd w:id="102"/>
      <w:bookmarkEnd w:id="103"/>
      <w:bookmarkEnd w:id="104"/>
      <w:bookmarkEnd w:id="105"/>
    </w:p>
    <w:p w14:paraId="76426DFD">
      <w:pPr>
        <w:pStyle w:val="3"/>
        <w:rPr>
          <w:rFonts w:hint="eastAsia" w:asciiTheme="minorEastAsia" w:hAnsiTheme="minorEastAsia" w:eastAsiaTheme="minorEastAsia" w:cstheme="minorEastAsia"/>
          <w:sz w:val="24"/>
          <w:szCs w:val="24"/>
          <w:lang w:val="en-US"/>
        </w:rPr>
      </w:pPr>
      <w:bookmarkStart w:id="106" w:name="_Toc3703"/>
      <w:bookmarkStart w:id="107" w:name="_Toc186452610"/>
      <w:bookmarkStart w:id="108" w:name="_Toc186389164"/>
      <w:r>
        <w:rPr>
          <w:rFonts w:hint="eastAsia" w:ascii="Times New Roman" w:hAnsi="Times New Roman"/>
          <w:lang w:val="en-US"/>
        </w:rPr>
        <w:t>纸杯机自动上料</w:t>
      </w:r>
      <w:bookmarkEnd w:id="106"/>
      <w:bookmarkEnd w:id="107"/>
      <w:bookmarkEnd w:id="108"/>
    </w:p>
    <w:p w14:paraId="6D828C8D">
      <w:pPr>
        <w:ind w:firstLine="0" w:firstLineChars="0"/>
      </w:pPr>
      <w:r>
        <w:rPr>
          <w:rFonts w:hint="eastAsia"/>
        </w:rPr>
        <w:t>1.纸杯机扇形纸片自动上料</w:t>
      </w:r>
    </w:p>
    <w:p w14:paraId="4456F0FD">
      <w:pPr>
        <w:pStyle w:val="20"/>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w:t>
      </w:r>
      <w:r>
        <w:rPr>
          <w:rFonts w:asciiTheme="minorEastAsia" w:hAnsiTheme="minorEastAsia" w:cstheme="minorEastAsia"/>
          <w:szCs w:val="24"/>
        </w:rPr>
        <w:t>1</w:t>
      </w:r>
      <w:r>
        <w:rPr>
          <w:rFonts w:hint="eastAsia" w:asciiTheme="minorEastAsia" w:hAnsiTheme="minorEastAsia" w:cstheme="minorEastAsia"/>
          <w:szCs w:val="24"/>
        </w:rPr>
        <w:t>）</w:t>
      </w:r>
      <w:r>
        <w:rPr>
          <w:rFonts w:asciiTheme="minorEastAsia" w:hAnsiTheme="minorEastAsia" w:cstheme="minorEastAsia"/>
          <w:szCs w:val="24"/>
        </w:rPr>
        <w:t>雾化车间人工将纸片放至料架后，AGV运料架至机台附近</w:t>
      </w:r>
      <w:r>
        <w:rPr>
          <w:rFonts w:hint="eastAsia" w:asciiTheme="minorEastAsia" w:hAnsiTheme="minorEastAsia" w:cstheme="minorEastAsia"/>
          <w:szCs w:val="24"/>
        </w:rPr>
        <w:t>；</w:t>
      </w:r>
    </w:p>
    <w:p w14:paraId="5667E5D0">
      <w:pPr>
        <w:pStyle w:val="20"/>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w:t>
      </w:r>
      <w:r>
        <w:rPr>
          <w:rFonts w:asciiTheme="minorEastAsia" w:hAnsiTheme="minorEastAsia" w:cstheme="minorEastAsia"/>
          <w:szCs w:val="24"/>
        </w:rPr>
        <w:t>2</w:t>
      </w:r>
      <w:r>
        <w:rPr>
          <w:rFonts w:hint="eastAsia" w:asciiTheme="minorEastAsia" w:hAnsiTheme="minorEastAsia" w:cstheme="minorEastAsia"/>
          <w:szCs w:val="24"/>
        </w:rPr>
        <w:t>）</w:t>
      </w:r>
      <w:r>
        <w:rPr>
          <w:rFonts w:asciiTheme="minorEastAsia" w:hAnsiTheme="minorEastAsia" w:cstheme="minorEastAsia"/>
          <w:szCs w:val="24"/>
        </w:rPr>
        <w:t>机械手抓取纸片至纸杯机上料口</w:t>
      </w:r>
      <w:r>
        <w:rPr>
          <w:rFonts w:hint="eastAsia" w:asciiTheme="minorEastAsia" w:hAnsiTheme="minorEastAsia" w:cstheme="minorEastAsia"/>
          <w:szCs w:val="24"/>
        </w:rPr>
        <w:t>（甲供）</w:t>
      </w:r>
      <w:r>
        <w:rPr>
          <w:rFonts w:asciiTheme="minorEastAsia" w:hAnsiTheme="minorEastAsia" w:cstheme="minorEastAsia"/>
          <w:szCs w:val="24"/>
        </w:rPr>
        <w:t>，</w:t>
      </w:r>
      <w:r>
        <w:rPr>
          <w:rFonts w:hint="eastAsia" w:asciiTheme="minorEastAsia" w:hAnsiTheme="minorEastAsia" w:cstheme="minorEastAsia"/>
          <w:szCs w:val="24"/>
        </w:rPr>
        <w:t>在纸杯机上料口</w:t>
      </w:r>
      <w:r>
        <w:rPr>
          <w:rFonts w:asciiTheme="minorEastAsia" w:hAnsiTheme="minorEastAsia" w:cstheme="minorEastAsia"/>
          <w:szCs w:val="24"/>
        </w:rPr>
        <w:t>固定位置上料</w:t>
      </w:r>
      <w:r>
        <w:rPr>
          <w:rFonts w:hint="eastAsia" w:asciiTheme="minorEastAsia" w:hAnsiTheme="minorEastAsia" w:cstheme="minorEastAsia"/>
          <w:szCs w:val="24"/>
        </w:rPr>
        <w:t>；</w:t>
      </w:r>
    </w:p>
    <w:p w14:paraId="6AE83679">
      <w:pPr>
        <w:pStyle w:val="20"/>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w:t>
      </w:r>
      <w:r>
        <w:rPr>
          <w:rFonts w:asciiTheme="minorEastAsia" w:hAnsiTheme="minorEastAsia" w:cstheme="minorEastAsia"/>
          <w:szCs w:val="24"/>
        </w:rPr>
        <w:t>3</w:t>
      </w:r>
      <w:r>
        <w:rPr>
          <w:rFonts w:hint="eastAsia" w:asciiTheme="minorEastAsia" w:hAnsiTheme="minorEastAsia" w:cstheme="minorEastAsia"/>
          <w:szCs w:val="24"/>
        </w:rPr>
        <w:t>）</w:t>
      </w:r>
      <w:r>
        <w:rPr>
          <w:rFonts w:asciiTheme="minorEastAsia" w:hAnsiTheme="minorEastAsia" w:cstheme="minorEastAsia"/>
          <w:szCs w:val="24"/>
        </w:rPr>
        <w:t>人工进入工作区时，桁架停止运行</w:t>
      </w:r>
      <w:r>
        <w:rPr>
          <w:rFonts w:hint="eastAsia" w:asciiTheme="minorEastAsia" w:hAnsiTheme="minorEastAsia" w:cstheme="minorEastAsia"/>
          <w:szCs w:val="24"/>
        </w:rPr>
        <w:t>（物流设备部分由乙方负责）。</w:t>
      </w:r>
    </w:p>
    <w:p w14:paraId="697EBEF5">
      <w:pPr>
        <w:pStyle w:val="20"/>
        <w:ind w:firstLine="0" w:firstLineChars="0"/>
        <w:jc w:val="left"/>
        <w:rPr>
          <w:rFonts w:hint="eastAsia" w:asciiTheme="minorEastAsia" w:hAnsiTheme="minorEastAsia" w:cstheme="minorEastAsia"/>
          <w:szCs w:val="24"/>
        </w:rPr>
      </w:pPr>
      <w:r>
        <w:drawing>
          <wp:inline distT="0" distB="0" distL="114300" distR="114300">
            <wp:extent cx="4881245" cy="2969895"/>
            <wp:effectExtent l="0" t="0" r="1079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4881245" cy="2969895"/>
                    </a:xfrm>
                    <a:prstGeom prst="rect">
                      <a:avLst/>
                    </a:prstGeom>
                  </pic:spPr>
                </pic:pic>
              </a:graphicData>
            </a:graphic>
          </wp:inline>
        </w:drawing>
      </w:r>
    </w:p>
    <w:p w14:paraId="35F8AD9A">
      <w:pPr>
        <w:ind w:firstLine="420"/>
        <w:jc w:val="center"/>
        <w:rPr>
          <w:sz w:val="21"/>
          <w:szCs w:val="21"/>
        </w:rPr>
      </w:pPr>
      <w:r>
        <w:rPr>
          <w:rFonts w:hint="eastAsia"/>
          <w:sz w:val="21"/>
          <w:szCs w:val="21"/>
        </w:rPr>
        <w:t>示意图，以最终设计为准</w:t>
      </w:r>
    </w:p>
    <w:p w14:paraId="3E70B8B6">
      <w:pPr>
        <w:pStyle w:val="20"/>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2.纸杯机包装纸板自动上料</w:t>
      </w:r>
    </w:p>
    <w:p w14:paraId="056AF3B0">
      <w:pPr>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w:t>
      </w:r>
      <w:r>
        <w:rPr>
          <w:rFonts w:asciiTheme="minorEastAsia" w:hAnsiTheme="minorEastAsia" w:cstheme="minorEastAsia"/>
          <w:szCs w:val="24"/>
        </w:rPr>
        <w:t>1</w:t>
      </w:r>
      <w:r>
        <w:rPr>
          <w:rFonts w:hint="eastAsia" w:asciiTheme="minorEastAsia" w:hAnsiTheme="minorEastAsia" w:cstheme="minorEastAsia"/>
          <w:szCs w:val="24"/>
        </w:rPr>
        <w:t>）</w:t>
      </w:r>
      <w:r>
        <w:rPr>
          <w:rFonts w:asciiTheme="minorEastAsia" w:hAnsiTheme="minorEastAsia" w:cstheme="minorEastAsia"/>
          <w:szCs w:val="24"/>
        </w:rPr>
        <w:t>AGV运送纸板托盘至机台附近（运来时人工已拆除扎带）</w:t>
      </w:r>
      <w:r>
        <w:rPr>
          <w:rFonts w:hint="eastAsia" w:asciiTheme="minorEastAsia" w:hAnsiTheme="minorEastAsia" w:cstheme="minorEastAsia"/>
          <w:szCs w:val="24"/>
        </w:rPr>
        <w:t>；</w:t>
      </w:r>
    </w:p>
    <w:p w14:paraId="73136B0B">
      <w:pPr>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w:t>
      </w:r>
      <w:r>
        <w:rPr>
          <w:rFonts w:asciiTheme="minorEastAsia" w:hAnsiTheme="minorEastAsia" w:cstheme="minorEastAsia"/>
          <w:szCs w:val="24"/>
        </w:rPr>
        <w:t>2</w:t>
      </w:r>
      <w:r>
        <w:rPr>
          <w:rFonts w:hint="eastAsia" w:asciiTheme="minorEastAsia" w:hAnsiTheme="minorEastAsia" w:cstheme="minorEastAsia"/>
          <w:szCs w:val="24"/>
        </w:rPr>
        <w:t>）</w:t>
      </w:r>
      <w:r>
        <w:rPr>
          <w:rFonts w:asciiTheme="minorEastAsia" w:hAnsiTheme="minorEastAsia" w:cstheme="minorEastAsia"/>
          <w:szCs w:val="24"/>
        </w:rPr>
        <w:t>桁架抓取纸板至开箱机上料口，</w:t>
      </w:r>
      <w:r>
        <w:rPr>
          <w:rFonts w:hint="eastAsia" w:asciiTheme="minorEastAsia" w:hAnsiTheme="minorEastAsia" w:cstheme="minorEastAsia"/>
          <w:szCs w:val="24"/>
        </w:rPr>
        <w:t>满足单机台12箱/H的需求，来料时</w:t>
      </w:r>
      <w:r>
        <w:rPr>
          <w:rFonts w:asciiTheme="minorEastAsia" w:hAnsiTheme="minorEastAsia" w:cstheme="minorEastAsia"/>
          <w:szCs w:val="24"/>
        </w:rPr>
        <w:t>需保证每托盘最多双摞纸板</w:t>
      </w:r>
      <w:r>
        <w:rPr>
          <w:rFonts w:hint="eastAsia" w:asciiTheme="minorEastAsia" w:hAnsiTheme="minorEastAsia" w:cstheme="minorEastAsia"/>
          <w:szCs w:val="24"/>
        </w:rPr>
        <w:t>；</w:t>
      </w:r>
    </w:p>
    <w:p w14:paraId="4AFE8978">
      <w:pPr>
        <w:ind w:firstLine="0" w:firstLineChars="0"/>
        <w:jc w:val="left"/>
        <w:rPr>
          <w:rFonts w:hint="eastAsia" w:asciiTheme="minorEastAsia" w:hAnsiTheme="minorEastAsia" w:cstheme="minorEastAsia"/>
          <w:szCs w:val="24"/>
        </w:rPr>
      </w:pPr>
      <w:r>
        <w:rPr>
          <w:rFonts w:hint="eastAsia" w:asciiTheme="minorEastAsia" w:hAnsiTheme="minorEastAsia" w:cstheme="minorEastAsia"/>
          <w:szCs w:val="24"/>
        </w:rPr>
        <w:t>（</w:t>
      </w:r>
      <w:r>
        <w:rPr>
          <w:rFonts w:asciiTheme="minorEastAsia" w:hAnsiTheme="minorEastAsia" w:cstheme="minorEastAsia"/>
          <w:szCs w:val="24"/>
        </w:rPr>
        <w:t>3</w:t>
      </w:r>
      <w:r>
        <w:rPr>
          <w:rFonts w:hint="eastAsia" w:asciiTheme="minorEastAsia" w:hAnsiTheme="minorEastAsia" w:cstheme="minorEastAsia"/>
          <w:szCs w:val="24"/>
        </w:rPr>
        <w:t>）</w:t>
      </w:r>
      <w:r>
        <w:rPr>
          <w:rFonts w:asciiTheme="minorEastAsia" w:hAnsiTheme="minorEastAsia" w:cstheme="minorEastAsia"/>
          <w:szCs w:val="24"/>
        </w:rPr>
        <w:t>人工进入工作区换/加料时，桁架停止运行</w:t>
      </w:r>
      <w:r>
        <w:rPr>
          <w:rFonts w:hint="eastAsia" w:asciiTheme="minorEastAsia" w:hAnsiTheme="minorEastAsia" w:cstheme="minorEastAsia"/>
          <w:szCs w:val="24"/>
        </w:rPr>
        <w:t>（物流设备部分由乙方负责）</w:t>
      </w:r>
      <w:r>
        <w:rPr>
          <w:rFonts w:asciiTheme="minorEastAsia" w:hAnsiTheme="minorEastAsia" w:cstheme="minorEastAsia"/>
          <w:szCs w:val="24"/>
        </w:rPr>
        <w:t>。</w:t>
      </w:r>
    </w:p>
    <w:p w14:paraId="21EC9FD4">
      <w:pPr>
        <w:ind w:firstLine="0" w:firstLineChars="0"/>
        <w:jc w:val="center"/>
      </w:pPr>
      <w:r>
        <w:drawing>
          <wp:inline distT="0" distB="0" distL="114300" distR="114300">
            <wp:extent cx="5043170" cy="2350770"/>
            <wp:effectExtent l="0" t="0" r="1270" b="1143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3"/>
                    <a:stretch>
                      <a:fillRect/>
                    </a:stretch>
                  </pic:blipFill>
                  <pic:spPr>
                    <a:xfrm>
                      <a:off x="0" y="0"/>
                      <a:ext cx="5043170" cy="2350770"/>
                    </a:xfrm>
                    <a:prstGeom prst="rect">
                      <a:avLst/>
                    </a:prstGeom>
                  </pic:spPr>
                </pic:pic>
              </a:graphicData>
            </a:graphic>
          </wp:inline>
        </w:drawing>
      </w:r>
    </w:p>
    <w:p w14:paraId="0DBC5CB0">
      <w:pPr>
        <w:pStyle w:val="2"/>
        <w:rPr>
          <w:rFonts w:hint="eastAsia"/>
        </w:rPr>
      </w:pPr>
      <w:bookmarkStart w:id="109" w:name="_Toc25221"/>
      <w:bookmarkStart w:id="110" w:name="_Toc7263"/>
      <w:bookmarkStart w:id="111" w:name="_Toc186389165"/>
      <w:bookmarkStart w:id="112" w:name="_Toc169560646"/>
      <w:bookmarkStart w:id="113" w:name="_Toc186452611"/>
      <w:r>
        <w:rPr>
          <w:rFonts w:hint="eastAsia"/>
        </w:rPr>
        <w:t>电气控制系统</w:t>
      </w:r>
      <w:bookmarkEnd w:id="109"/>
      <w:bookmarkEnd w:id="110"/>
      <w:bookmarkEnd w:id="111"/>
      <w:bookmarkEnd w:id="112"/>
      <w:bookmarkEnd w:id="113"/>
    </w:p>
    <w:p w14:paraId="0E3C8928">
      <w:pPr>
        <w:ind w:firstLine="48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lang w:val="zh-CN"/>
        </w:rPr>
        <w:t>电气控制系统，是指由若干电气</w:t>
      </w:r>
      <w:r>
        <w:rPr>
          <w:rFonts w:hint="eastAsia" w:asciiTheme="majorEastAsia" w:hAnsiTheme="majorEastAsia" w:eastAsiaTheme="majorEastAsia" w:cstheme="majorEastAsia"/>
          <w:szCs w:val="24"/>
        </w:rPr>
        <w:t>元</w:t>
      </w:r>
      <w:r>
        <w:rPr>
          <w:rFonts w:hint="eastAsia" w:asciiTheme="majorEastAsia" w:hAnsiTheme="majorEastAsia" w:eastAsiaTheme="majorEastAsia" w:cstheme="majorEastAsia"/>
          <w:szCs w:val="24"/>
          <w:lang w:val="zh-CN"/>
        </w:rPr>
        <w:t>件组合，用于实现对某个或某些对象的控制，从而保证被控设备安全、可靠地运行。以可编程控制器PLC为核心，对传感器及局域网所采集的各种信息的归纳、分析、整理，实现物料与物料信息同步搬运、完成系统间信息分发、信息反馈的信息管理与自动控制的一体化系统。电气控制系统的主要功能有：自动控制、保护、监视和测量。它的构成主要有四部分：输入部分主要有传感器、开关、按钮等，逻辑部分主要有可编程控制器PLC、继电器等，执行部分主要有马达、电磁阀、电磁线圈、指示灯等，人机操作界面主要有HMI等</w:t>
      </w:r>
      <w:r>
        <w:rPr>
          <w:rFonts w:hint="eastAsia" w:asciiTheme="majorEastAsia" w:hAnsiTheme="majorEastAsia" w:eastAsiaTheme="majorEastAsia" w:cstheme="majorEastAsia"/>
          <w:szCs w:val="24"/>
        </w:rPr>
        <w:t>。</w:t>
      </w:r>
    </w:p>
    <w:p w14:paraId="4366865E">
      <w:pPr>
        <w:pStyle w:val="3"/>
      </w:pPr>
      <w:bookmarkStart w:id="114" w:name="_Toc169560647"/>
      <w:bookmarkStart w:id="115" w:name="_Toc186389166"/>
      <w:bookmarkStart w:id="116" w:name="_Toc6875"/>
      <w:bookmarkStart w:id="117" w:name="_Toc19981"/>
      <w:bookmarkStart w:id="118" w:name="_Toc186452612"/>
      <w:r>
        <w:rPr>
          <w:rFonts w:hint="eastAsia"/>
        </w:rPr>
        <w:t>电气控制系统设计依据</w:t>
      </w:r>
      <w:bookmarkEnd w:id="114"/>
      <w:bookmarkEnd w:id="115"/>
      <w:bookmarkEnd w:id="116"/>
      <w:bookmarkEnd w:id="117"/>
      <w:bookmarkEnd w:id="118"/>
    </w:p>
    <w:p w14:paraId="4F3D9EE3">
      <w:pPr>
        <w:ind w:firstLine="42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本方案根据招标文件要求、总体工艺方案，结合众多</w:t>
      </w:r>
      <w:r>
        <w:rPr>
          <w:rFonts w:hint="eastAsia" w:asciiTheme="majorEastAsia" w:hAnsiTheme="majorEastAsia" w:eastAsiaTheme="majorEastAsia" w:cstheme="majorEastAsia"/>
          <w:szCs w:val="24"/>
        </w:rPr>
        <w:t>自动化物流</w:t>
      </w:r>
      <w:r>
        <w:rPr>
          <w:rFonts w:hint="eastAsia" w:asciiTheme="majorEastAsia" w:hAnsiTheme="majorEastAsia" w:eastAsiaTheme="majorEastAsia" w:cstheme="majorEastAsia"/>
          <w:szCs w:val="24"/>
          <w:lang w:val="zh-CN"/>
        </w:rPr>
        <w:t>系统项目设计、实施经验进行设计。</w:t>
      </w:r>
    </w:p>
    <w:p w14:paraId="0A054309">
      <w:pPr>
        <w:pStyle w:val="3"/>
      </w:pPr>
      <w:bookmarkStart w:id="119" w:name="_Toc25414"/>
      <w:bookmarkStart w:id="120" w:name="_Toc186452613"/>
      <w:bookmarkStart w:id="121" w:name="_Toc27370"/>
      <w:bookmarkStart w:id="122" w:name="_Toc169560648"/>
      <w:bookmarkStart w:id="123" w:name="_Toc186389167"/>
      <w:r>
        <w:rPr>
          <w:rFonts w:hint="eastAsia"/>
        </w:rPr>
        <w:t>电气控制系统设计原则</w:t>
      </w:r>
      <w:bookmarkEnd w:id="119"/>
      <w:bookmarkEnd w:id="120"/>
      <w:bookmarkEnd w:id="121"/>
      <w:bookmarkEnd w:id="122"/>
      <w:bookmarkEnd w:id="123"/>
    </w:p>
    <w:p w14:paraId="06E95836">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电气控制系统遵循先进、安全可靠、模块化、易用易维护、易扩展、绿色环保、高效、高性价比等原则进行系统设计。</w:t>
      </w:r>
    </w:p>
    <w:p w14:paraId="40E9BBFA">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1）</w:t>
      </w:r>
      <w:r>
        <w:rPr>
          <w:rFonts w:hint="eastAsia" w:asciiTheme="majorEastAsia" w:hAnsiTheme="majorEastAsia" w:eastAsiaTheme="majorEastAsia" w:cstheme="majorEastAsia"/>
        </w:rPr>
        <w:t>先进性</w:t>
      </w:r>
    </w:p>
    <w:p w14:paraId="61DD2DAD">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采用国际、国内当前最流行的先进技术和产品，如激光定位、视觉识别、</w:t>
      </w:r>
      <w:r>
        <w:rPr>
          <w:rFonts w:asciiTheme="majorEastAsia" w:hAnsiTheme="majorEastAsia" w:eastAsiaTheme="majorEastAsia" w:cstheme="majorEastAsia"/>
          <w:szCs w:val="24"/>
          <w:lang w:val="zh-CN"/>
        </w:rPr>
        <w:t>伺服驱动、控制总线、</w:t>
      </w:r>
      <w:r>
        <w:rPr>
          <w:rFonts w:hint="eastAsia" w:asciiTheme="majorEastAsia" w:hAnsiTheme="majorEastAsia" w:eastAsiaTheme="majorEastAsia" w:cstheme="majorEastAsia"/>
          <w:szCs w:val="24"/>
          <w:lang w:val="zh-CN"/>
        </w:rPr>
        <w:t>1</w:t>
      </w:r>
      <w:r>
        <w:rPr>
          <w:rFonts w:asciiTheme="majorEastAsia" w:hAnsiTheme="majorEastAsia" w:eastAsiaTheme="majorEastAsia" w:cstheme="majorEastAsia"/>
          <w:szCs w:val="24"/>
          <w:lang w:val="zh-CN"/>
        </w:rPr>
        <w:t xml:space="preserve">500 </w:t>
      </w:r>
      <w:r>
        <w:rPr>
          <w:rFonts w:ascii="Times New Roman" w:hAnsi="Times New Roman" w:cs="Times New Roman"/>
        </w:rPr>
        <w:t>PLC</w:t>
      </w:r>
      <w:r>
        <w:rPr>
          <w:rFonts w:asciiTheme="majorEastAsia" w:hAnsiTheme="majorEastAsia" w:eastAsiaTheme="majorEastAsia" w:cstheme="majorEastAsia"/>
          <w:szCs w:val="24"/>
          <w:lang w:val="zh-CN"/>
        </w:rPr>
        <w:t>等，以</w:t>
      </w:r>
      <w:r>
        <w:rPr>
          <w:rFonts w:hint="eastAsia" w:asciiTheme="majorEastAsia" w:hAnsiTheme="majorEastAsia" w:eastAsiaTheme="majorEastAsia" w:cstheme="majorEastAsia"/>
          <w:szCs w:val="24"/>
          <w:lang w:val="zh-CN"/>
        </w:rPr>
        <w:t>适应技术发展需求。</w:t>
      </w:r>
    </w:p>
    <w:p w14:paraId="7D2E271A">
      <w:pPr>
        <w:ind w:firstLine="0" w:firstLineChars="0"/>
        <w:rPr>
          <w:rFonts w:hint="eastAsia" w:asciiTheme="majorEastAsia" w:hAnsiTheme="majorEastAsia" w:eastAsiaTheme="majorEastAsia" w:cstheme="majorEastAsia"/>
          <w:szCs w:val="24"/>
          <w:lang w:val="zh-CN"/>
        </w:rPr>
      </w:pPr>
      <w:bookmarkStart w:id="124" w:name="_Toc54684869"/>
      <w:bookmarkStart w:id="125" w:name="_Toc51695824"/>
      <w:bookmarkStart w:id="126" w:name="_Toc54524801"/>
      <w:r>
        <w:rPr>
          <w:rFonts w:hint="eastAsia" w:asciiTheme="majorEastAsia" w:hAnsiTheme="majorEastAsia" w:eastAsiaTheme="majorEastAsia" w:cstheme="majorEastAsia"/>
          <w:szCs w:val="24"/>
          <w:lang w:val="zh-CN"/>
        </w:rPr>
        <w:t>2）高</w:t>
      </w:r>
      <w:r>
        <w:rPr>
          <w:rFonts w:asciiTheme="majorEastAsia" w:hAnsiTheme="majorEastAsia" w:eastAsiaTheme="majorEastAsia" w:cstheme="majorEastAsia"/>
          <w:szCs w:val="24"/>
          <w:lang w:val="zh-CN"/>
        </w:rPr>
        <w:t>可靠性</w:t>
      </w:r>
      <w:bookmarkEnd w:id="124"/>
      <w:bookmarkEnd w:id="125"/>
      <w:bookmarkEnd w:id="126"/>
    </w:p>
    <w:p w14:paraId="6E9F07CE">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主要</w:t>
      </w:r>
      <w:r>
        <w:rPr>
          <w:rFonts w:asciiTheme="majorEastAsia" w:hAnsiTheme="majorEastAsia" w:eastAsiaTheme="majorEastAsia" w:cstheme="majorEastAsia"/>
          <w:szCs w:val="24"/>
          <w:lang w:val="zh-CN"/>
        </w:rPr>
        <w:t>自动化控制元件、驱动装置、</w:t>
      </w:r>
      <w:r>
        <w:rPr>
          <w:rFonts w:hint="eastAsia" w:asciiTheme="majorEastAsia" w:hAnsiTheme="majorEastAsia" w:eastAsiaTheme="majorEastAsia" w:cstheme="majorEastAsia"/>
          <w:szCs w:val="24"/>
          <w:lang w:val="zh-CN"/>
        </w:rPr>
        <w:t>检测器件等采用</w:t>
      </w:r>
      <w:r>
        <w:rPr>
          <w:rFonts w:asciiTheme="majorEastAsia" w:hAnsiTheme="majorEastAsia" w:eastAsiaTheme="majorEastAsia" w:cstheme="majorEastAsia"/>
          <w:szCs w:val="24"/>
          <w:lang w:val="zh-CN"/>
        </w:rPr>
        <w:t>SIEMENS 、</w:t>
      </w:r>
      <w:r>
        <w:rPr>
          <w:rFonts w:hint="eastAsia" w:asciiTheme="majorEastAsia" w:hAnsiTheme="majorEastAsia" w:eastAsiaTheme="majorEastAsia" w:cstheme="majorEastAsia"/>
          <w:szCs w:val="24"/>
          <w:lang w:val="zh-CN"/>
        </w:rPr>
        <w:t>施耐德、</w:t>
      </w:r>
      <w:r>
        <w:rPr>
          <w:rFonts w:hint="eastAsia" w:asciiTheme="majorEastAsia" w:hAnsiTheme="majorEastAsia" w:eastAsiaTheme="majorEastAsia" w:cstheme="majorEastAsia"/>
          <w:szCs w:val="24"/>
        </w:rPr>
        <w:t>西克</w:t>
      </w:r>
      <w:r>
        <w:rPr>
          <w:rFonts w:asciiTheme="majorEastAsia" w:hAnsiTheme="majorEastAsia" w:eastAsiaTheme="majorEastAsia" w:cstheme="majorEastAsia"/>
          <w:szCs w:val="24"/>
          <w:lang w:val="zh-CN"/>
        </w:rPr>
        <w:t>等</w:t>
      </w:r>
      <w:r>
        <w:rPr>
          <w:rFonts w:hint="eastAsia" w:asciiTheme="majorEastAsia" w:hAnsiTheme="majorEastAsia" w:eastAsiaTheme="majorEastAsia" w:cstheme="majorEastAsia"/>
          <w:szCs w:val="24"/>
          <w:lang w:val="zh-CN"/>
        </w:rPr>
        <w:t>国际知名</w:t>
      </w:r>
      <w:r>
        <w:rPr>
          <w:rFonts w:asciiTheme="majorEastAsia" w:hAnsiTheme="majorEastAsia" w:eastAsiaTheme="majorEastAsia" w:cstheme="majorEastAsia"/>
          <w:szCs w:val="24"/>
          <w:lang w:val="zh-CN"/>
        </w:rPr>
        <w:t>品牌</w:t>
      </w:r>
      <w:r>
        <w:rPr>
          <w:rFonts w:hint="eastAsia" w:asciiTheme="majorEastAsia" w:hAnsiTheme="majorEastAsia" w:eastAsiaTheme="majorEastAsia" w:cstheme="majorEastAsia"/>
          <w:szCs w:val="24"/>
          <w:lang w:val="zh-CN"/>
        </w:rPr>
        <w:t>产品，</w:t>
      </w:r>
      <w:r>
        <w:rPr>
          <w:rFonts w:asciiTheme="majorEastAsia" w:hAnsiTheme="majorEastAsia" w:eastAsiaTheme="majorEastAsia" w:cstheme="majorEastAsia"/>
          <w:szCs w:val="24"/>
          <w:lang w:val="zh-CN"/>
        </w:rPr>
        <w:t>保证现场</w:t>
      </w:r>
      <w:r>
        <w:rPr>
          <w:rFonts w:ascii="Times New Roman" w:hAnsi="Times New Roman" w:cs="Times New Roman"/>
        </w:rPr>
        <w:t>工艺</w:t>
      </w:r>
      <w:r>
        <w:rPr>
          <w:rFonts w:asciiTheme="majorEastAsia" w:hAnsiTheme="majorEastAsia" w:eastAsiaTheme="majorEastAsia" w:cstheme="majorEastAsia"/>
          <w:szCs w:val="24"/>
          <w:lang w:val="zh-CN"/>
        </w:rPr>
        <w:t>设备的高性能、高可靠运行，现场总线采用开放、可靠的成熟技术PROFINET</w:t>
      </w:r>
      <w:r>
        <w:rPr>
          <w:rFonts w:hint="eastAsia" w:asciiTheme="majorEastAsia" w:hAnsiTheme="majorEastAsia" w:eastAsiaTheme="majorEastAsia" w:cstheme="majorEastAsia"/>
          <w:szCs w:val="24"/>
          <w:lang w:val="zh-CN"/>
        </w:rPr>
        <w:t>工业控制总线</w:t>
      </w:r>
      <w:r>
        <w:rPr>
          <w:rFonts w:asciiTheme="majorEastAsia" w:hAnsiTheme="majorEastAsia" w:eastAsiaTheme="majorEastAsia" w:cstheme="majorEastAsia"/>
          <w:szCs w:val="24"/>
          <w:lang w:val="zh-CN"/>
        </w:rPr>
        <w:t>，具有高可靠性和安全性。</w:t>
      </w:r>
    </w:p>
    <w:p w14:paraId="65FB514F">
      <w:pPr>
        <w:ind w:firstLine="0" w:firstLineChars="0"/>
        <w:rPr>
          <w:rFonts w:hint="eastAsia" w:asciiTheme="majorEastAsia" w:hAnsiTheme="majorEastAsia" w:eastAsiaTheme="majorEastAsia" w:cstheme="majorEastAsia"/>
          <w:szCs w:val="24"/>
          <w:lang w:val="zh-CN"/>
        </w:rPr>
      </w:pPr>
      <w:bookmarkStart w:id="127" w:name="_Toc54684870"/>
      <w:bookmarkStart w:id="128" w:name="_Toc54524802"/>
      <w:bookmarkStart w:id="129" w:name="_Toc51695825"/>
      <w:r>
        <w:rPr>
          <w:rFonts w:hint="eastAsia" w:asciiTheme="majorEastAsia" w:hAnsiTheme="majorEastAsia" w:eastAsiaTheme="majorEastAsia" w:cstheme="majorEastAsia"/>
          <w:szCs w:val="24"/>
          <w:lang w:val="zh-CN"/>
        </w:rPr>
        <w:t>3）</w:t>
      </w:r>
      <w:r>
        <w:rPr>
          <w:rFonts w:asciiTheme="majorEastAsia" w:hAnsiTheme="majorEastAsia" w:eastAsiaTheme="majorEastAsia" w:cstheme="majorEastAsia"/>
          <w:szCs w:val="24"/>
          <w:lang w:val="zh-CN"/>
        </w:rPr>
        <w:t>灵活性、可扩展性</w:t>
      </w:r>
      <w:bookmarkEnd w:id="127"/>
      <w:bookmarkEnd w:id="128"/>
      <w:bookmarkEnd w:id="129"/>
    </w:p>
    <w:p w14:paraId="756B3E0E">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采用总线技术、分布式控制系统与远程控制相结合，具有全面的自诊断功能，能灵活满足用户控制方式多样性的要求。采用易于扩展的总线技术，为以后设备的扩展和更新预留一定的空间。</w:t>
      </w:r>
    </w:p>
    <w:p w14:paraId="2E3890AE">
      <w:pPr>
        <w:ind w:firstLine="0" w:firstLineChars="0"/>
        <w:rPr>
          <w:rFonts w:hint="eastAsia" w:asciiTheme="majorEastAsia" w:hAnsiTheme="majorEastAsia" w:eastAsiaTheme="majorEastAsia" w:cstheme="majorEastAsia"/>
          <w:szCs w:val="24"/>
          <w:lang w:val="zh-CN"/>
        </w:rPr>
      </w:pPr>
      <w:bookmarkStart w:id="130" w:name="_Toc51695826"/>
      <w:r>
        <w:rPr>
          <w:rFonts w:hint="eastAsia" w:asciiTheme="majorEastAsia" w:hAnsiTheme="majorEastAsia" w:eastAsiaTheme="majorEastAsia" w:cstheme="majorEastAsia"/>
          <w:szCs w:val="24"/>
          <w:lang w:val="zh-CN"/>
        </w:rPr>
        <w:t>4）</w:t>
      </w:r>
      <w:r>
        <w:rPr>
          <w:rFonts w:asciiTheme="majorEastAsia" w:hAnsiTheme="majorEastAsia" w:eastAsiaTheme="majorEastAsia" w:cstheme="majorEastAsia"/>
          <w:szCs w:val="24"/>
          <w:lang w:val="zh-CN"/>
        </w:rPr>
        <w:t>开放性、兼容性</w:t>
      </w:r>
      <w:bookmarkEnd w:id="130"/>
    </w:p>
    <w:p w14:paraId="4B1324C6">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采用符合</w:t>
      </w:r>
      <w:r>
        <w:rPr>
          <w:rFonts w:asciiTheme="majorEastAsia" w:hAnsiTheme="majorEastAsia" w:eastAsiaTheme="majorEastAsia" w:cstheme="majorEastAsia"/>
          <w:szCs w:val="24"/>
          <w:lang w:val="zh-CN"/>
        </w:rPr>
        <w:t>IEC 61158国际标准和EN</w:t>
      </w:r>
      <w:r>
        <w:rPr>
          <w:rFonts w:ascii="Times New Roman" w:hAnsi="Times New Roman" w:cs="Times New Roman"/>
        </w:rPr>
        <w:t>50170</w:t>
      </w:r>
      <w:r>
        <w:rPr>
          <w:rFonts w:asciiTheme="majorEastAsia" w:hAnsiTheme="majorEastAsia" w:eastAsiaTheme="majorEastAsia" w:cstheme="majorEastAsia"/>
          <w:szCs w:val="24"/>
          <w:lang w:val="zh-CN"/>
        </w:rPr>
        <w:t>欧洲标准的PROFINET现场总线，和符合国际标准IEEE 802.3U的快速以太网通讯技术，具有强大的标准接口，充分利用组态技术。</w:t>
      </w:r>
    </w:p>
    <w:p w14:paraId="3876974C">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5）</w:t>
      </w:r>
      <w:r>
        <w:rPr>
          <w:rFonts w:asciiTheme="majorEastAsia" w:hAnsiTheme="majorEastAsia" w:eastAsiaTheme="majorEastAsia" w:cstheme="majorEastAsia"/>
          <w:szCs w:val="24"/>
          <w:lang w:val="zh-CN"/>
        </w:rPr>
        <w:t>易操作性和易维护性</w:t>
      </w:r>
    </w:p>
    <w:p w14:paraId="38971082">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系统具有完善的手动</w:t>
      </w:r>
      <w:r>
        <w:rPr>
          <w:rFonts w:asciiTheme="majorEastAsia" w:hAnsiTheme="majorEastAsia" w:eastAsiaTheme="majorEastAsia" w:cstheme="majorEastAsia"/>
          <w:szCs w:val="24"/>
          <w:lang w:val="zh-CN"/>
        </w:rPr>
        <w:t>/自动、单机/联机控制功能、工艺参数的设置调节功能、自诊断功能和完备的安全</w:t>
      </w:r>
      <w:r>
        <w:rPr>
          <w:rFonts w:ascii="Times New Roman" w:hAnsi="Times New Roman" w:cs="Times New Roman"/>
        </w:rPr>
        <w:t>保护</w:t>
      </w:r>
      <w:r>
        <w:rPr>
          <w:rFonts w:asciiTheme="majorEastAsia" w:hAnsiTheme="majorEastAsia" w:eastAsiaTheme="majorEastAsia" w:cstheme="majorEastAsia"/>
          <w:szCs w:val="24"/>
          <w:lang w:val="zh-CN"/>
        </w:rPr>
        <w:t>功能；完善的中文操作界面，完备的运行状态监控、清晰的故障显示等功能。</w:t>
      </w:r>
    </w:p>
    <w:p w14:paraId="16611329">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6）</w:t>
      </w:r>
      <w:r>
        <w:rPr>
          <w:rFonts w:asciiTheme="majorEastAsia" w:hAnsiTheme="majorEastAsia" w:eastAsiaTheme="majorEastAsia" w:cstheme="majorEastAsia"/>
          <w:szCs w:val="24"/>
          <w:lang w:val="zh-CN"/>
        </w:rPr>
        <w:t>实时性</w:t>
      </w:r>
    </w:p>
    <w:p w14:paraId="2528CDC2">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现场实现实时通讯与控制功能，系统采用高速的西门子1</w:t>
      </w:r>
      <w:r>
        <w:rPr>
          <w:rFonts w:asciiTheme="majorEastAsia" w:hAnsiTheme="majorEastAsia" w:eastAsiaTheme="majorEastAsia" w:cstheme="majorEastAsia"/>
          <w:szCs w:val="24"/>
          <w:lang w:val="zh-CN"/>
        </w:rPr>
        <w:t>500PLC作为主控制器、</w:t>
      </w:r>
      <w:r>
        <w:rPr>
          <w:rFonts w:hint="eastAsia" w:asciiTheme="majorEastAsia" w:hAnsiTheme="majorEastAsia" w:eastAsiaTheme="majorEastAsia" w:cstheme="majorEastAsia"/>
          <w:szCs w:val="24"/>
          <w:lang w:val="zh-CN"/>
        </w:rPr>
        <w:t>采用</w:t>
      </w:r>
      <w:r>
        <w:rPr>
          <w:rFonts w:asciiTheme="majorEastAsia" w:hAnsiTheme="majorEastAsia" w:eastAsiaTheme="majorEastAsia" w:cstheme="majorEastAsia"/>
          <w:szCs w:val="24"/>
          <w:lang w:val="zh-CN"/>
        </w:rPr>
        <w:t>100M的工业控制总线</w:t>
      </w:r>
      <w:r>
        <w:rPr>
          <w:rFonts w:hint="eastAsia" w:asciiTheme="majorEastAsia" w:hAnsiTheme="majorEastAsia" w:eastAsiaTheme="majorEastAsia" w:cstheme="majorEastAsia"/>
          <w:szCs w:val="24"/>
          <w:lang w:val="zh-CN"/>
        </w:rPr>
        <w:t>P</w:t>
      </w:r>
      <w:r>
        <w:rPr>
          <w:rFonts w:asciiTheme="majorEastAsia" w:hAnsiTheme="majorEastAsia" w:eastAsiaTheme="majorEastAsia" w:cstheme="majorEastAsia"/>
          <w:szCs w:val="24"/>
          <w:lang w:val="zh-CN"/>
        </w:rPr>
        <w:t>ROFINET作为控制主干网</w:t>
      </w:r>
      <w:r>
        <w:rPr>
          <w:rFonts w:hint="eastAsia" w:asciiTheme="majorEastAsia" w:hAnsiTheme="majorEastAsia" w:eastAsiaTheme="majorEastAsia" w:cstheme="majorEastAsia"/>
          <w:szCs w:val="24"/>
          <w:lang w:val="zh-CN"/>
        </w:rPr>
        <w:t>、采用工业级的交换机进行组网，</w:t>
      </w:r>
      <w:r>
        <w:rPr>
          <w:rFonts w:asciiTheme="majorEastAsia" w:hAnsiTheme="majorEastAsia" w:eastAsiaTheme="majorEastAsia" w:cstheme="majorEastAsia"/>
          <w:szCs w:val="24"/>
          <w:lang w:val="zh-CN"/>
        </w:rPr>
        <w:t>整个系统具有非常高的控制实时性，信号响应控制在毫秒级。</w:t>
      </w:r>
    </w:p>
    <w:p w14:paraId="296A585B">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7）抗干扰性：</w:t>
      </w:r>
    </w:p>
    <w:p w14:paraId="6FCC5C78">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结合现场复杂的电磁环境，设计时充分考虑了抗电磁干扰、抗光干扰、抗误信号干扰的措施。</w:t>
      </w:r>
    </w:p>
    <w:p w14:paraId="0E045764">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8）系统安全性：</w:t>
      </w:r>
    </w:p>
    <w:p w14:paraId="57994B1A">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系统从硬件配置及软件智能判断等方面，采取多种保护措施，保障人员安全、货物及设备安全、数据通讯安全及控制的实时性。</w:t>
      </w:r>
    </w:p>
    <w:p w14:paraId="2EE311FE">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9）节能环保：</w:t>
      </w:r>
    </w:p>
    <w:p w14:paraId="5836062D">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系统采用</w:t>
      </w:r>
      <w:r>
        <w:rPr>
          <w:rFonts w:hint="eastAsia" w:ascii="Times New Roman" w:hAnsi="Times New Roman" w:cs="Times New Roman"/>
        </w:rPr>
        <w:t>物料</w:t>
      </w:r>
      <w:r>
        <w:rPr>
          <w:rFonts w:hint="eastAsia" w:asciiTheme="majorEastAsia" w:hAnsiTheme="majorEastAsia" w:eastAsiaTheme="majorEastAsia" w:cstheme="majorEastAsia"/>
          <w:szCs w:val="24"/>
          <w:lang w:val="zh-CN"/>
        </w:rPr>
        <w:t>驱动、信息驱动等控制模式，当设备无作业任务时，自动进入节能待机状态，来料后，立刻进入正常工作状态，最大限度消除设备的无效运行。</w:t>
      </w:r>
    </w:p>
    <w:p w14:paraId="2B97E270">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1</w:t>
      </w:r>
      <w:r>
        <w:rPr>
          <w:rFonts w:asciiTheme="majorEastAsia" w:hAnsiTheme="majorEastAsia" w:eastAsiaTheme="majorEastAsia" w:cstheme="majorEastAsia"/>
          <w:szCs w:val="24"/>
          <w:lang w:val="zh-CN"/>
        </w:rPr>
        <w:t>0</w:t>
      </w:r>
      <w:r>
        <w:rPr>
          <w:rFonts w:hint="eastAsia" w:asciiTheme="majorEastAsia" w:hAnsiTheme="majorEastAsia" w:eastAsiaTheme="majorEastAsia" w:cstheme="majorEastAsia"/>
          <w:szCs w:val="24"/>
          <w:lang w:val="zh-CN"/>
        </w:rPr>
        <w:t>）经济性：</w:t>
      </w:r>
    </w:p>
    <w:p w14:paraId="7CD6A05A">
      <w:pPr>
        <w:ind w:firstLine="48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系统设计时</w:t>
      </w:r>
      <w:r>
        <w:rPr>
          <w:rFonts w:hint="eastAsia" w:asciiTheme="majorEastAsia" w:hAnsiTheme="majorEastAsia" w:eastAsiaTheme="majorEastAsia" w:cstheme="majorEastAsia"/>
          <w:szCs w:val="24"/>
          <w:lang w:val="zh-CN"/>
        </w:rPr>
        <w:t>既</w:t>
      </w:r>
      <w:r>
        <w:rPr>
          <w:rFonts w:asciiTheme="majorEastAsia" w:hAnsiTheme="majorEastAsia" w:eastAsiaTheme="majorEastAsia" w:cstheme="majorEastAsia"/>
          <w:szCs w:val="24"/>
          <w:lang w:val="zh-CN"/>
        </w:rPr>
        <w:t>考虑了实用性，同时兼顾了经济性，具有较高的性价比</w:t>
      </w:r>
      <w:r>
        <w:rPr>
          <w:rFonts w:hint="eastAsia" w:asciiTheme="majorEastAsia" w:hAnsiTheme="majorEastAsia" w:eastAsiaTheme="majorEastAsia" w:cstheme="majorEastAsia"/>
          <w:szCs w:val="24"/>
          <w:lang w:val="zh-CN"/>
        </w:rPr>
        <w:t>。</w:t>
      </w:r>
    </w:p>
    <w:p w14:paraId="50D28957">
      <w:pPr>
        <w:pStyle w:val="3"/>
      </w:pPr>
      <w:bookmarkStart w:id="131" w:name="_Toc169560649"/>
      <w:bookmarkStart w:id="132" w:name="_Toc186452614"/>
      <w:bookmarkStart w:id="133" w:name="_Toc186389168"/>
      <w:bookmarkStart w:id="134" w:name="_Toc12162"/>
      <w:bookmarkStart w:id="135" w:name="_Toc11003"/>
      <w:r>
        <w:rPr>
          <w:rFonts w:hint="eastAsia"/>
        </w:rPr>
        <w:t>设计标准</w:t>
      </w:r>
      <w:bookmarkEnd w:id="131"/>
      <w:bookmarkEnd w:id="132"/>
      <w:bookmarkEnd w:id="133"/>
      <w:bookmarkEnd w:id="134"/>
      <w:bookmarkEnd w:id="135"/>
    </w:p>
    <w:p w14:paraId="37EBB722">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电控系统的设计、安装、调试等严格按照国家颁布的有关标准执行。部分相关标准和规范目录如下：</w:t>
      </w:r>
    </w:p>
    <w:p w14:paraId="68DD55BC">
      <w:pPr>
        <w:numPr>
          <w:ilvl w:val="0"/>
          <w:numId w:val="6"/>
        </w:numPr>
        <w:ind w:firstLine="0" w:firstLineChars="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GB/T4728.1～13-2005 电气简图用图形符号</w:t>
      </w:r>
    </w:p>
    <w:p w14:paraId="0E2F0AF4">
      <w:pPr>
        <w:numPr>
          <w:ilvl w:val="0"/>
          <w:numId w:val="6"/>
        </w:num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 xml:space="preserve">  GB/T14050-2008系统接地的型式及安全技术要求</w:t>
      </w:r>
    </w:p>
    <w:p w14:paraId="3DC3FD92">
      <w:pPr>
        <w:numPr>
          <w:ilvl w:val="0"/>
          <w:numId w:val="6"/>
        </w:numPr>
        <w:ind w:firstLine="0" w:firstLineChars="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GB/T50065-2011 交流电气装置的接地设计规范</w:t>
      </w:r>
    </w:p>
    <w:p w14:paraId="22E39618">
      <w:pPr>
        <w:numPr>
          <w:ilvl w:val="0"/>
          <w:numId w:val="6"/>
        </w:numPr>
        <w:ind w:firstLine="0" w:firstLineChars="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GB19517-2009</w:t>
      </w: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国家电气设备安全技术规范</w:t>
      </w:r>
    </w:p>
    <w:p w14:paraId="1001D836">
      <w:pPr>
        <w:numPr>
          <w:ilvl w:val="0"/>
          <w:numId w:val="6"/>
        </w:numPr>
        <w:ind w:firstLine="0" w:firstLineChars="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GB5226.1-2008-机械电气安全-机械电气设备-第1部分：</w:t>
      </w:r>
    </w:p>
    <w:p w14:paraId="31D039A7">
      <w:pPr>
        <w:tabs>
          <w:tab w:val="left" w:pos="60"/>
        </w:tabs>
        <w:ind w:left="620"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通用技术条件</w:t>
      </w:r>
    </w:p>
    <w:p w14:paraId="1C4091B0">
      <w:pPr>
        <w:numPr>
          <w:ilvl w:val="0"/>
          <w:numId w:val="6"/>
        </w:numPr>
        <w:ind w:firstLine="0" w:firstLineChars="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 xml:space="preserve">  GB50055-2011 通用用电设备配电设计规范</w:t>
      </w:r>
    </w:p>
    <w:p w14:paraId="7421D47E">
      <w:pPr>
        <w:numPr>
          <w:ilvl w:val="0"/>
          <w:numId w:val="6"/>
        </w:num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 xml:space="preserve">  GB50303-2002 建筑电气工程施工质量验收规范</w:t>
      </w:r>
    </w:p>
    <w:p w14:paraId="50E1D185">
      <w:pPr>
        <w:numPr>
          <w:ilvl w:val="0"/>
          <w:numId w:val="6"/>
        </w:num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 xml:space="preserve">  </w:t>
      </w:r>
      <w:r>
        <w:rPr>
          <w:rFonts w:asciiTheme="majorEastAsia" w:hAnsiTheme="majorEastAsia" w:eastAsiaTheme="majorEastAsia" w:cstheme="majorEastAsia"/>
          <w:szCs w:val="24"/>
          <w:lang w:val="zh-CN"/>
        </w:rPr>
        <w:t>GB51348-2019</w:t>
      </w:r>
      <w:r>
        <w:rPr>
          <w:rFonts w:hint="eastAsia" w:asciiTheme="majorEastAsia" w:hAnsiTheme="majorEastAsia" w:eastAsiaTheme="majorEastAsia" w:cstheme="majorEastAsia"/>
          <w:szCs w:val="24"/>
          <w:lang w:val="zh-CN"/>
        </w:rPr>
        <w:t xml:space="preserve"> 民用建筑电气设计标准</w:t>
      </w:r>
    </w:p>
    <w:p w14:paraId="022FBCF4">
      <w:pPr>
        <w:numPr>
          <w:ilvl w:val="0"/>
          <w:numId w:val="6"/>
        </w:num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 xml:space="preserve">  GB50054-2011</w:t>
      </w: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低压配电设计规范</w:t>
      </w:r>
    </w:p>
    <w:p w14:paraId="7C7083C0">
      <w:pPr>
        <w:numPr>
          <w:ilvl w:val="0"/>
          <w:numId w:val="6"/>
        </w:numPr>
        <w:ind w:firstLine="0" w:firstLineChars="0"/>
        <w:rPr>
          <w:rFonts w:hint="eastAsia" w:asciiTheme="majorEastAsia" w:hAnsiTheme="majorEastAsia" w:eastAsiaTheme="majorEastAsia" w:cstheme="majorEastAsia"/>
          <w:szCs w:val="24"/>
          <w:lang w:val="zh-CN"/>
        </w:rPr>
      </w:pPr>
      <w:r>
        <w:rPr>
          <w:rFonts w:asciiTheme="majorEastAsia" w:hAnsiTheme="majorEastAsia" w:eastAsiaTheme="majorEastAsia" w:cstheme="majorEastAsia"/>
          <w:szCs w:val="24"/>
          <w:lang w:val="zh-CN"/>
        </w:rPr>
        <w:t xml:space="preserve">  CECS 31:</w:t>
      </w:r>
      <w:r>
        <w:rPr>
          <w:rFonts w:hint="eastAsia" w:asciiTheme="majorEastAsia" w:hAnsiTheme="majorEastAsia" w:eastAsiaTheme="majorEastAsia" w:cstheme="majorEastAsia"/>
          <w:szCs w:val="24"/>
          <w:lang w:val="zh-CN"/>
        </w:rPr>
        <w:t>2006</w:t>
      </w:r>
      <w:r>
        <w:rPr>
          <w:rFonts w:asciiTheme="majorEastAsia" w:hAnsiTheme="majorEastAsia" w:eastAsiaTheme="majorEastAsia" w:cstheme="majorEastAsia"/>
          <w:szCs w:val="24"/>
          <w:lang w:val="zh-CN"/>
        </w:rPr>
        <w:t xml:space="preserve"> 钢制电缆桥架工程设计规范</w:t>
      </w:r>
    </w:p>
    <w:p w14:paraId="037B55EA">
      <w:pPr>
        <w:numPr>
          <w:ilvl w:val="0"/>
          <w:numId w:val="6"/>
        </w:num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 xml:space="preserve"> </w:t>
      </w:r>
      <w:r>
        <w:rPr>
          <w:rFonts w:asciiTheme="majorEastAsia" w:hAnsiTheme="majorEastAsia" w:eastAsiaTheme="majorEastAsia" w:cstheme="majorEastAsia"/>
          <w:szCs w:val="24"/>
          <w:lang w:val="zh-CN"/>
        </w:rPr>
        <w:t xml:space="preserve"> </w:t>
      </w:r>
      <w:r>
        <w:rPr>
          <w:rFonts w:hint="eastAsia" w:asciiTheme="majorEastAsia" w:hAnsiTheme="majorEastAsia" w:eastAsiaTheme="majorEastAsia" w:cstheme="majorEastAsia"/>
          <w:szCs w:val="24"/>
          <w:lang w:val="zh-CN"/>
        </w:rPr>
        <w:t>其它相关要求严格按照客户招标要求进行设计。</w:t>
      </w:r>
    </w:p>
    <w:p w14:paraId="2D9BB179">
      <w:pPr>
        <w:pStyle w:val="3"/>
      </w:pPr>
      <w:bookmarkStart w:id="136" w:name="_Toc186389169"/>
      <w:bookmarkStart w:id="137" w:name="_Toc18363"/>
      <w:bookmarkStart w:id="138" w:name="_Toc169560650"/>
      <w:bookmarkStart w:id="139" w:name="_Toc18183"/>
      <w:bookmarkStart w:id="140" w:name="_Toc186452615"/>
      <w:r>
        <w:rPr>
          <w:rFonts w:hint="eastAsia"/>
        </w:rPr>
        <w:t>系统设计规范</w:t>
      </w:r>
      <w:bookmarkEnd w:id="136"/>
      <w:bookmarkEnd w:id="137"/>
      <w:bookmarkEnd w:id="138"/>
      <w:bookmarkEnd w:id="139"/>
      <w:bookmarkEnd w:id="140"/>
    </w:p>
    <w:p w14:paraId="48F44307">
      <w:pPr>
        <w:ind w:firstLine="480"/>
        <w:rPr>
          <w:rFonts w:hint="eastAsia" w:asciiTheme="majorEastAsia" w:hAnsiTheme="majorEastAsia" w:eastAsiaTheme="majorEastAsia" w:cstheme="majorEastAsia"/>
          <w:szCs w:val="24"/>
        </w:rPr>
      </w:pPr>
      <w:r>
        <w:rPr>
          <w:rFonts w:asciiTheme="majorEastAsia" w:hAnsiTheme="majorEastAsia" w:eastAsiaTheme="majorEastAsia" w:cstheme="majorEastAsia"/>
          <w:szCs w:val="24"/>
        </w:rPr>
        <w:t>电控系统设备主要由主控制柜、PLC控制器、现场控制箱、现场操作员终端、变频驱动、</w:t>
      </w:r>
      <w:r>
        <w:rPr>
          <w:rFonts w:hint="eastAsia" w:asciiTheme="majorEastAsia" w:hAnsiTheme="majorEastAsia" w:eastAsiaTheme="majorEastAsia" w:cstheme="majorEastAsia"/>
          <w:szCs w:val="24"/>
          <w:lang w:val="zh-CN"/>
        </w:rPr>
        <w:t>条码</w:t>
      </w:r>
      <w:r>
        <w:rPr>
          <w:rFonts w:asciiTheme="majorEastAsia" w:hAnsiTheme="majorEastAsia" w:eastAsiaTheme="majorEastAsia" w:cstheme="majorEastAsia"/>
          <w:szCs w:val="24"/>
        </w:rPr>
        <w:t>识别、现场总线组件、控制接口组件等组成。电控系统设备</w:t>
      </w:r>
      <w:r>
        <w:rPr>
          <w:rFonts w:hint="eastAsia" w:asciiTheme="majorEastAsia" w:hAnsiTheme="majorEastAsia" w:eastAsiaTheme="majorEastAsia" w:cstheme="majorEastAsia"/>
          <w:szCs w:val="24"/>
        </w:rPr>
        <w:t>的设计均</w:t>
      </w:r>
      <w:r>
        <w:rPr>
          <w:rFonts w:asciiTheme="majorEastAsia" w:hAnsiTheme="majorEastAsia" w:eastAsiaTheme="majorEastAsia" w:cstheme="majorEastAsia"/>
          <w:szCs w:val="24"/>
        </w:rPr>
        <w:t>严格遵守客户的各项要求，同时结合了我公司电控设计、开发、实施经验，以期达到设计完善、用户满意的最终目标。</w:t>
      </w:r>
    </w:p>
    <w:p w14:paraId="5DBC35BD">
      <w:pPr>
        <w:pStyle w:val="3"/>
      </w:pPr>
      <w:bookmarkStart w:id="141" w:name="_Toc20887"/>
      <w:bookmarkStart w:id="142" w:name="_Toc27640"/>
      <w:bookmarkStart w:id="143" w:name="_Toc169560651"/>
      <w:bookmarkStart w:id="144" w:name="_Toc186452616"/>
      <w:bookmarkStart w:id="145" w:name="_Toc186389170"/>
      <w:r>
        <w:rPr>
          <w:rFonts w:hint="eastAsia"/>
        </w:rPr>
        <w:t>电气控制系统设计框架</w:t>
      </w:r>
      <w:bookmarkEnd w:id="141"/>
      <w:bookmarkEnd w:id="142"/>
      <w:bookmarkEnd w:id="143"/>
      <w:bookmarkEnd w:id="144"/>
      <w:bookmarkEnd w:id="145"/>
    </w:p>
    <w:p w14:paraId="18667778">
      <w:pPr>
        <w:ind w:firstLine="48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电气控制系统采用集中管理、分布控制相结合的模式，设计了</w:t>
      </w:r>
      <w:r>
        <w:rPr>
          <w:rFonts w:asciiTheme="majorEastAsia" w:hAnsiTheme="majorEastAsia" w:eastAsiaTheme="majorEastAsia" w:cstheme="majorEastAsia"/>
          <w:szCs w:val="24"/>
          <w:lang w:val="zh-CN"/>
        </w:rPr>
        <w:t>1</w:t>
      </w:r>
      <w:r>
        <w:rPr>
          <w:rFonts w:hint="eastAsia" w:asciiTheme="majorEastAsia" w:hAnsiTheme="majorEastAsia" w:eastAsiaTheme="majorEastAsia" w:cstheme="majorEastAsia"/>
          <w:szCs w:val="24"/>
          <w:lang w:val="zh-CN"/>
        </w:rPr>
        <w:t>组主控制柜和多个分布式现场控制箱，对所有输送设备进行控制，条码识别器、触摸屏等控制器件通过总线网络与P</w:t>
      </w:r>
      <w:r>
        <w:rPr>
          <w:rFonts w:asciiTheme="majorEastAsia" w:hAnsiTheme="majorEastAsia" w:eastAsiaTheme="majorEastAsia" w:cstheme="majorEastAsia"/>
          <w:szCs w:val="24"/>
          <w:lang w:val="zh-CN"/>
        </w:rPr>
        <w:t>LC进行通讯。</w:t>
      </w:r>
    </w:p>
    <w:p w14:paraId="2E01E7F9">
      <w:pPr>
        <w:ind w:firstLine="480"/>
        <w:rPr>
          <w:rFonts w:hint="eastAsia" w:asciiTheme="minorEastAsia" w:hAnsiTheme="minorEastAsia" w:cstheme="minorEastAsia"/>
          <w:szCs w:val="24"/>
          <w:lang w:val="zh-CN"/>
        </w:rPr>
      </w:pPr>
      <w:r>
        <w:rPr>
          <w:rFonts w:hint="eastAsia" w:asciiTheme="majorEastAsia" w:hAnsiTheme="majorEastAsia" w:eastAsiaTheme="majorEastAsia" w:cstheme="majorEastAsia"/>
          <w:szCs w:val="24"/>
          <w:lang w:val="zh-CN"/>
        </w:rPr>
        <w:t>主控制柜是系统的控制核心，主要配置有供配电及保护装置、主控器件、声光报警、按钮指示灯等</w:t>
      </w:r>
      <w:r>
        <w:rPr>
          <w:rFonts w:hint="eastAsia" w:asciiTheme="minorEastAsia" w:hAnsiTheme="minorEastAsia" w:cstheme="minorEastAsia"/>
          <w:szCs w:val="24"/>
          <w:lang w:val="zh-CN"/>
        </w:rPr>
        <w:t>；现场I/O箱主要分布安装于设备周边适当位置，I/O箱内主要配置有支持PROFINET的通讯接口模块、数字量I/O模块、变频器、空开、接触器等。</w:t>
      </w:r>
    </w:p>
    <w:p w14:paraId="1A2D09D6">
      <w:p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rPr>
        <w:t>1）系统</w:t>
      </w:r>
      <w:r>
        <w:rPr>
          <w:rFonts w:hint="eastAsia" w:asciiTheme="minorEastAsia" w:hAnsiTheme="minorEastAsia" w:cstheme="minorEastAsia"/>
          <w:szCs w:val="24"/>
          <w:lang w:val="zh-CN"/>
        </w:rPr>
        <w:t>控制网络采用PROFINET架构，通</w:t>
      </w:r>
      <w:r>
        <w:rPr>
          <w:rFonts w:hint="eastAsia" w:asciiTheme="majorEastAsia" w:hAnsiTheme="majorEastAsia" w:eastAsiaTheme="majorEastAsia" w:cstheme="majorEastAsia"/>
          <w:szCs w:val="24"/>
          <w:lang w:val="zh-CN"/>
        </w:rPr>
        <w:t>过PROFINET网络实现系统控制器件信号的无缝连接。系统通过网络或硬件I/O与其它系统实现信息对接和动作联动控制。</w:t>
      </w:r>
    </w:p>
    <w:p w14:paraId="4CDF0A11">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2）主控器件采用西门子公司S7-1500系列PLC，安装</w:t>
      </w:r>
      <w:r>
        <w:rPr>
          <w:rFonts w:hint="eastAsia" w:asciiTheme="majorEastAsia" w:hAnsiTheme="majorEastAsia" w:eastAsiaTheme="majorEastAsia" w:cstheme="majorEastAsia"/>
          <w:szCs w:val="24"/>
        </w:rPr>
        <w:t>于</w:t>
      </w:r>
      <w:r>
        <w:rPr>
          <w:rFonts w:hint="eastAsia" w:asciiTheme="majorEastAsia" w:hAnsiTheme="majorEastAsia" w:eastAsiaTheme="majorEastAsia" w:cstheme="majorEastAsia"/>
          <w:szCs w:val="24"/>
          <w:lang w:val="zh-CN"/>
        </w:rPr>
        <w:t>系统主控制柜内，带网络通讯接口，同时支持PROFINET及TCP/IP协议。并且P</w:t>
      </w:r>
      <w:r>
        <w:rPr>
          <w:rFonts w:asciiTheme="majorEastAsia" w:hAnsiTheme="majorEastAsia" w:eastAsiaTheme="majorEastAsia" w:cstheme="majorEastAsia"/>
          <w:szCs w:val="24"/>
          <w:lang w:val="zh-CN"/>
        </w:rPr>
        <w:t>LC下层控制网络与上层通讯网络相互隔离，上层通讯网络的信息堵塞不会影响下层控制网络。</w:t>
      </w:r>
      <w:r>
        <w:rPr>
          <w:rFonts w:hint="eastAsia" w:asciiTheme="majorEastAsia" w:hAnsiTheme="majorEastAsia" w:eastAsiaTheme="majorEastAsia" w:cstheme="majorEastAsia"/>
          <w:szCs w:val="24"/>
          <w:lang w:val="zh-CN"/>
        </w:rPr>
        <w:t>系统架构图如下:</w:t>
      </w:r>
    </w:p>
    <w:p w14:paraId="23921847">
      <w:pPr>
        <w:ind w:firstLine="0" w:firstLineChars="0"/>
        <w:jc w:val="center"/>
        <w:rPr>
          <w:rFonts w:hint="eastAsia" w:asciiTheme="majorEastAsia" w:hAnsiTheme="majorEastAsia" w:eastAsiaTheme="majorEastAsia" w:cstheme="majorEastAsia"/>
          <w:szCs w:val="24"/>
        </w:rPr>
      </w:pPr>
      <w:r>
        <w:rPr>
          <w:rFonts w:asciiTheme="majorEastAsia" w:hAnsiTheme="majorEastAsia" w:eastAsiaTheme="majorEastAsia" w:cstheme="majorEastAsia"/>
          <w:szCs w:val="24"/>
        </w:rPr>
        <w:drawing>
          <wp:inline distT="0" distB="0" distL="0" distR="0">
            <wp:extent cx="4841875" cy="3977640"/>
            <wp:effectExtent l="0" t="0" r="1587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48157" cy="3982736"/>
                    </a:xfrm>
                    <a:prstGeom prst="rect">
                      <a:avLst/>
                    </a:prstGeom>
                    <a:noFill/>
                    <a:ln>
                      <a:noFill/>
                    </a:ln>
                  </pic:spPr>
                </pic:pic>
              </a:graphicData>
            </a:graphic>
          </wp:inline>
        </w:drawing>
      </w:r>
    </w:p>
    <w:p w14:paraId="36BA1710">
      <w:pPr>
        <w:ind w:firstLine="0" w:firstLineChars="0"/>
        <w:rPr>
          <w:rFonts w:hint="eastAsia" w:asciiTheme="majorEastAsia" w:hAnsiTheme="majorEastAsia" w:eastAsiaTheme="majorEastAsia" w:cstheme="majorEastAsia"/>
          <w:szCs w:val="24"/>
        </w:rPr>
      </w:pPr>
      <w:r>
        <w:rPr>
          <w:rFonts w:hint="eastAsia" w:asciiTheme="majorEastAsia" w:hAnsiTheme="majorEastAsia" w:eastAsiaTheme="majorEastAsia" w:cstheme="majorEastAsia"/>
          <w:szCs w:val="24"/>
        </w:rPr>
        <w:t>3）</w:t>
      </w:r>
      <w:r>
        <w:rPr>
          <w:rFonts w:asciiTheme="majorEastAsia" w:hAnsiTheme="majorEastAsia" w:eastAsiaTheme="majorEastAsia" w:cstheme="majorEastAsia"/>
          <w:szCs w:val="24"/>
          <w:lang w:val="zh-CN"/>
        </w:rPr>
        <w:t>信号采集的</w:t>
      </w:r>
      <w:r>
        <w:rPr>
          <w:rFonts w:asciiTheme="majorEastAsia" w:hAnsiTheme="majorEastAsia" w:eastAsiaTheme="majorEastAsia" w:cstheme="majorEastAsia"/>
          <w:szCs w:val="24"/>
        </w:rPr>
        <w:t>I/O</w:t>
      </w:r>
      <w:r>
        <w:rPr>
          <w:rFonts w:asciiTheme="majorEastAsia" w:hAnsiTheme="majorEastAsia" w:eastAsiaTheme="majorEastAsia" w:cstheme="majorEastAsia"/>
          <w:szCs w:val="24"/>
          <w:lang w:val="zh-CN"/>
        </w:rPr>
        <w:t>模块</w:t>
      </w:r>
      <w:r>
        <w:rPr>
          <w:rFonts w:hint="eastAsia" w:asciiTheme="majorEastAsia" w:hAnsiTheme="majorEastAsia" w:eastAsiaTheme="majorEastAsia" w:cstheme="majorEastAsia"/>
          <w:szCs w:val="24"/>
          <w:lang w:val="zh-CN"/>
        </w:rPr>
        <w:t>选用西门子公司的</w:t>
      </w:r>
      <w:r>
        <w:rPr>
          <w:rFonts w:hint="eastAsia" w:asciiTheme="majorEastAsia" w:hAnsiTheme="majorEastAsia" w:eastAsiaTheme="majorEastAsia" w:cstheme="majorEastAsia"/>
          <w:szCs w:val="24"/>
        </w:rPr>
        <w:t>ET200S</w:t>
      </w:r>
      <w:r>
        <w:rPr>
          <w:rFonts w:asciiTheme="majorEastAsia" w:hAnsiTheme="majorEastAsia" w:eastAsiaTheme="majorEastAsia" w:cstheme="majorEastAsia"/>
          <w:szCs w:val="24"/>
        </w:rPr>
        <w:t>P</w:t>
      </w:r>
      <w:r>
        <w:rPr>
          <w:rFonts w:hint="eastAsia" w:asciiTheme="majorEastAsia" w:hAnsiTheme="majorEastAsia" w:eastAsiaTheme="majorEastAsia" w:cstheme="majorEastAsia"/>
          <w:szCs w:val="24"/>
          <w:lang w:val="zh-CN"/>
        </w:rPr>
        <w:t>系列产品</w:t>
      </w:r>
      <w:r>
        <w:rPr>
          <w:rFonts w:asciiTheme="majorEastAsia" w:hAnsiTheme="majorEastAsia" w:eastAsiaTheme="majorEastAsia" w:cstheme="majorEastAsia"/>
          <w:szCs w:val="24"/>
        </w:rPr>
        <w:t>，</w:t>
      </w:r>
      <w:r>
        <w:rPr>
          <w:rFonts w:asciiTheme="majorEastAsia" w:hAnsiTheme="majorEastAsia" w:eastAsiaTheme="majorEastAsia" w:cstheme="majorEastAsia"/>
          <w:szCs w:val="24"/>
          <w:lang w:val="zh-CN"/>
        </w:rPr>
        <w:t>放置于分布式控制箱内</w:t>
      </w:r>
      <w:r>
        <w:rPr>
          <w:rFonts w:asciiTheme="majorEastAsia" w:hAnsiTheme="majorEastAsia" w:eastAsiaTheme="majorEastAsia" w:cstheme="majorEastAsia"/>
          <w:szCs w:val="24"/>
        </w:rPr>
        <w:t>，</w:t>
      </w:r>
      <w:r>
        <w:rPr>
          <w:rFonts w:asciiTheme="majorEastAsia" w:hAnsiTheme="majorEastAsia" w:eastAsiaTheme="majorEastAsia" w:cstheme="majorEastAsia"/>
          <w:szCs w:val="24"/>
          <w:lang w:val="zh-CN"/>
        </w:rPr>
        <w:t>通过</w:t>
      </w:r>
      <w:r>
        <w:rPr>
          <w:rFonts w:hint="eastAsia" w:asciiTheme="majorEastAsia" w:hAnsiTheme="majorEastAsia" w:eastAsiaTheme="majorEastAsia" w:cstheme="majorEastAsia"/>
          <w:szCs w:val="24"/>
        </w:rPr>
        <w:t>PROFINET</w:t>
      </w:r>
      <w:r>
        <w:rPr>
          <w:rFonts w:asciiTheme="majorEastAsia" w:hAnsiTheme="majorEastAsia" w:eastAsiaTheme="majorEastAsia" w:cstheme="majorEastAsia"/>
          <w:szCs w:val="24"/>
          <w:lang w:val="zh-CN"/>
        </w:rPr>
        <w:t>网关接入</w:t>
      </w:r>
      <w:r>
        <w:rPr>
          <w:rFonts w:hint="eastAsia" w:asciiTheme="majorEastAsia" w:hAnsiTheme="majorEastAsia" w:eastAsiaTheme="majorEastAsia" w:cstheme="majorEastAsia"/>
          <w:szCs w:val="24"/>
        </w:rPr>
        <w:t>PROFINET</w:t>
      </w:r>
      <w:r>
        <w:rPr>
          <w:rFonts w:hint="eastAsia" w:asciiTheme="majorEastAsia" w:hAnsiTheme="majorEastAsia" w:eastAsiaTheme="majorEastAsia" w:cstheme="majorEastAsia"/>
          <w:szCs w:val="24"/>
          <w:lang w:val="zh-CN"/>
        </w:rPr>
        <w:t>网络</w:t>
      </w:r>
      <w:r>
        <w:rPr>
          <w:rFonts w:hint="eastAsia" w:asciiTheme="majorEastAsia" w:hAnsiTheme="majorEastAsia" w:eastAsiaTheme="majorEastAsia" w:cstheme="majorEastAsia"/>
          <w:szCs w:val="24"/>
        </w:rPr>
        <w:t>，</w:t>
      </w:r>
      <w:r>
        <w:rPr>
          <w:rFonts w:asciiTheme="majorEastAsia" w:hAnsiTheme="majorEastAsia" w:eastAsiaTheme="majorEastAsia" w:cstheme="majorEastAsia"/>
          <w:szCs w:val="24"/>
          <w:lang w:val="zh-CN"/>
        </w:rPr>
        <w:t>与</w:t>
      </w:r>
      <w:r>
        <w:rPr>
          <w:rFonts w:asciiTheme="majorEastAsia" w:hAnsiTheme="majorEastAsia" w:eastAsiaTheme="majorEastAsia" w:cstheme="majorEastAsia"/>
          <w:szCs w:val="24"/>
        </w:rPr>
        <w:t>PLC</w:t>
      </w:r>
      <w:r>
        <w:rPr>
          <w:rFonts w:asciiTheme="majorEastAsia" w:hAnsiTheme="majorEastAsia" w:eastAsiaTheme="majorEastAsia" w:cstheme="majorEastAsia"/>
          <w:szCs w:val="24"/>
          <w:lang w:val="zh-CN"/>
        </w:rPr>
        <w:t>进行通讯</w:t>
      </w:r>
      <w:r>
        <w:rPr>
          <w:rFonts w:hint="eastAsia" w:asciiTheme="majorEastAsia" w:hAnsiTheme="majorEastAsia" w:eastAsiaTheme="majorEastAsia" w:cstheme="majorEastAsia"/>
          <w:szCs w:val="24"/>
          <w:lang w:val="zh-CN"/>
        </w:rPr>
        <w:t>。</w:t>
      </w:r>
    </w:p>
    <w:p w14:paraId="1C138E4A">
      <w:pPr>
        <w:ind w:firstLine="0" w:firstLineChars="0"/>
        <w:rPr>
          <w:rFonts w:hint="eastAsia" w:asciiTheme="majorEastAsia" w:hAnsiTheme="majorEastAsia" w:eastAsiaTheme="majorEastAsia" w:cstheme="majorEastAsia"/>
          <w:szCs w:val="24"/>
          <w:lang w:val="zh-CN"/>
        </w:rPr>
      </w:pPr>
      <w:r>
        <w:rPr>
          <w:rFonts w:hint="eastAsia" w:asciiTheme="majorEastAsia" w:hAnsiTheme="majorEastAsia" w:eastAsiaTheme="majorEastAsia" w:cstheme="majorEastAsia"/>
          <w:szCs w:val="24"/>
          <w:lang w:val="zh-CN"/>
        </w:rPr>
        <w:t>4）输送设备</w:t>
      </w:r>
      <w:r>
        <w:rPr>
          <w:rFonts w:asciiTheme="majorEastAsia" w:hAnsiTheme="majorEastAsia" w:eastAsiaTheme="majorEastAsia" w:cstheme="majorEastAsia"/>
          <w:szCs w:val="24"/>
          <w:lang w:val="zh-CN"/>
        </w:rPr>
        <w:t>均采用电动辊筒驱动，可灵活进行速度的调节和加减速时间的调整，从而实现货物的缓起缓停</w:t>
      </w:r>
      <w:r>
        <w:rPr>
          <w:rFonts w:hint="eastAsia" w:asciiTheme="majorEastAsia" w:hAnsiTheme="majorEastAsia" w:eastAsiaTheme="majorEastAsia" w:cstheme="majorEastAsia"/>
          <w:szCs w:val="24"/>
          <w:lang w:val="zh-CN"/>
        </w:rPr>
        <w:t>。</w:t>
      </w:r>
    </w:p>
    <w:p w14:paraId="35467FAE">
      <w:pPr>
        <w:pStyle w:val="3"/>
      </w:pPr>
      <w:bookmarkStart w:id="146" w:name="_Toc186452617"/>
      <w:bookmarkStart w:id="147" w:name="_Toc169560652"/>
      <w:bookmarkStart w:id="148" w:name="_Toc23058"/>
      <w:bookmarkStart w:id="149" w:name="_Toc186389171"/>
      <w:bookmarkStart w:id="150" w:name="_Toc28380"/>
      <w:r>
        <w:rPr>
          <w:rFonts w:hint="eastAsia"/>
        </w:rPr>
        <w:t>电气控制系统设计规范</w:t>
      </w:r>
      <w:bookmarkEnd w:id="146"/>
      <w:bookmarkEnd w:id="147"/>
      <w:bookmarkEnd w:id="148"/>
      <w:bookmarkEnd w:id="149"/>
      <w:bookmarkEnd w:id="150"/>
    </w:p>
    <w:p w14:paraId="6C9D0508">
      <w:pPr>
        <w:ind w:firstLine="480"/>
        <w:rPr>
          <w:rFonts w:hint="eastAsia" w:asciiTheme="minorEastAsia" w:hAnsiTheme="minorEastAsia" w:cstheme="majorEastAsia"/>
          <w:szCs w:val="24"/>
        </w:rPr>
      </w:pPr>
      <w:r>
        <w:rPr>
          <w:rFonts w:asciiTheme="minorEastAsia" w:hAnsiTheme="minorEastAsia" w:cstheme="majorEastAsia"/>
          <w:szCs w:val="24"/>
        </w:rPr>
        <w:t>电控系统设备主要由配电柜、主控制柜、PLC控制器、现场控制箱、现场操作员终端、变频</w:t>
      </w:r>
      <w:r>
        <w:rPr>
          <w:rFonts w:ascii="Times New Roman" w:hAnsi="Times New Roman" w:cs="Times New Roman"/>
        </w:rPr>
        <w:t>驱动</w:t>
      </w:r>
      <w:r>
        <w:rPr>
          <w:rFonts w:asciiTheme="minorEastAsia" w:hAnsiTheme="minorEastAsia" w:cstheme="majorEastAsia"/>
          <w:szCs w:val="24"/>
        </w:rPr>
        <w:t>、现场总线组件、控制接口组件等组成。电控系统设备</w:t>
      </w:r>
      <w:r>
        <w:rPr>
          <w:rFonts w:hint="eastAsia" w:asciiTheme="minorEastAsia" w:hAnsiTheme="minorEastAsia" w:cstheme="majorEastAsia"/>
          <w:szCs w:val="24"/>
        </w:rPr>
        <w:t>的设计均</w:t>
      </w:r>
      <w:r>
        <w:rPr>
          <w:rFonts w:asciiTheme="minorEastAsia" w:hAnsiTheme="minorEastAsia" w:cstheme="majorEastAsia"/>
          <w:szCs w:val="24"/>
        </w:rPr>
        <w:t>严格遵守客户的各项要求，同时结合了我公司电控设计、开发、实施经验，以期达到设计完善、用户满意的最终目标。</w:t>
      </w:r>
    </w:p>
    <w:p w14:paraId="5ED70767">
      <w:pPr>
        <w:pStyle w:val="3"/>
      </w:pPr>
      <w:bookmarkStart w:id="151" w:name="_Toc27139"/>
      <w:bookmarkStart w:id="152" w:name="_Toc435016944"/>
      <w:bookmarkStart w:id="153" w:name="_Toc169560653"/>
      <w:bookmarkStart w:id="154" w:name="_Toc5361"/>
      <w:bookmarkStart w:id="155" w:name="_Toc186452618"/>
      <w:bookmarkStart w:id="156" w:name="_Toc23216"/>
      <w:bookmarkStart w:id="157" w:name="_Toc186389172"/>
      <w:r>
        <w:rPr>
          <w:rFonts w:hint="eastAsia"/>
        </w:rPr>
        <w:t>供配电</w:t>
      </w:r>
      <w:bookmarkEnd w:id="151"/>
      <w:bookmarkEnd w:id="152"/>
      <w:r>
        <w:rPr>
          <w:rFonts w:hint="eastAsia"/>
        </w:rPr>
        <w:t>设计规范</w:t>
      </w:r>
      <w:bookmarkEnd w:id="153"/>
      <w:bookmarkEnd w:id="154"/>
      <w:bookmarkEnd w:id="155"/>
      <w:bookmarkEnd w:id="156"/>
      <w:bookmarkEnd w:id="157"/>
    </w:p>
    <w:p w14:paraId="7A43F23A">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动力配电采用三相五线制（TN-S），380VAC±10%，50HZ±2%。</w:t>
      </w:r>
    </w:p>
    <w:p w14:paraId="1BB085EC">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按钮、指示灯、选择开关、光电开关、接近开关、电磁阀（包括阀岛）类供电电压等级为24VDC；</w:t>
      </w:r>
      <w:r>
        <w:rPr>
          <w:rFonts w:asciiTheme="minorEastAsia" w:hAnsiTheme="minorEastAsia" w:cstheme="minorEastAsia"/>
          <w:szCs w:val="24"/>
        </w:rPr>
        <w:t xml:space="preserve"> </w:t>
      </w:r>
    </w:p>
    <w:p w14:paraId="5E0E631C">
      <w:pPr>
        <w:numPr>
          <w:ilvl w:val="0"/>
          <w:numId w:val="6"/>
        </w:numPr>
        <w:ind w:firstLine="0" w:firstLineChars="0"/>
        <w:rPr>
          <w:rFonts w:hint="eastAsia" w:asciiTheme="minorEastAsia" w:hAnsiTheme="minorEastAsia" w:cstheme="minorEastAsia"/>
          <w:szCs w:val="24"/>
        </w:rPr>
      </w:pPr>
      <w:r>
        <w:rPr>
          <w:rFonts w:asciiTheme="minorEastAsia" w:hAnsiTheme="minorEastAsia" w:cstheme="minorEastAsia"/>
          <w:szCs w:val="24"/>
        </w:rPr>
        <w:t>动力电缆和通讯电缆分开敷设，降低电磁干扰对通讯信号的影响</w:t>
      </w:r>
      <w:r>
        <w:rPr>
          <w:rFonts w:hint="eastAsia" w:asciiTheme="minorEastAsia" w:hAnsiTheme="minorEastAsia" w:cstheme="minorEastAsia"/>
          <w:szCs w:val="24"/>
        </w:rPr>
        <w:t>；</w:t>
      </w:r>
    </w:p>
    <w:p w14:paraId="68FD01BC">
      <w:pPr>
        <w:numPr>
          <w:ilvl w:val="0"/>
          <w:numId w:val="6"/>
        </w:numPr>
        <w:ind w:firstLine="0" w:firstLineChars="0"/>
        <w:rPr>
          <w:rFonts w:hint="eastAsia" w:asciiTheme="minorEastAsia" w:hAnsiTheme="minorEastAsia" w:cstheme="minorEastAsia"/>
          <w:szCs w:val="24"/>
        </w:rPr>
      </w:pPr>
      <w:r>
        <w:rPr>
          <w:rFonts w:asciiTheme="minorEastAsia" w:hAnsiTheme="minorEastAsia" w:cstheme="minorEastAsia"/>
          <w:szCs w:val="24"/>
        </w:rPr>
        <w:t>电缆的敷设符合国家标准，桥架中留有一定的余量</w:t>
      </w:r>
      <w:r>
        <w:rPr>
          <w:rFonts w:hint="eastAsia" w:asciiTheme="minorEastAsia" w:hAnsiTheme="minorEastAsia" w:cstheme="minorEastAsia"/>
          <w:szCs w:val="24"/>
        </w:rPr>
        <w:t>；</w:t>
      </w:r>
    </w:p>
    <w:p w14:paraId="4D387DF6">
      <w:pPr>
        <w:numPr>
          <w:ilvl w:val="0"/>
          <w:numId w:val="6"/>
        </w:numPr>
        <w:ind w:firstLine="0" w:firstLineChars="0"/>
        <w:rPr>
          <w:rFonts w:hint="eastAsia" w:asciiTheme="minorEastAsia" w:hAnsiTheme="minorEastAsia" w:cstheme="minorEastAsia"/>
          <w:szCs w:val="24"/>
        </w:rPr>
      </w:pPr>
      <w:r>
        <w:rPr>
          <w:rFonts w:asciiTheme="minorEastAsia" w:hAnsiTheme="minorEastAsia" w:cstheme="minorEastAsia"/>
          <w:szCs w:val="24"/>
        </w:rPr>
        <w:t>每台电机均设计独立的控制器件</w:t>
      </w:r>
      <w:r>
        <w:rPr>
          <w:rFonts w:hint="eastAsia" w:asciiTheme="minorEastAsia" w:hAnsiTheme="minorEastAsia" w:cstheme="minorEastAsia"/>
          <w:szCs w:val="24"/>
        </w:rPr>
        <w:t>；</w:t>
      </w:r>
    </w:p>
    <w:p w14:paraId="0B451917">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每一级的供电线路均设计分断能力合适的保护开关，并对保护开关进行检测与报警。</w:t>
      </w:r>
    </w:p>
    <w:p w14:paraId="74E04F35">
      <w:pPr>
        <w:pStyle w:val="3"/>
      </w:pPr>
      <w:bookmarkStart w:id="158" w:name="_Toc186389173"/>
      <w:bookmarkStart w:id="159" w:name="_Toc23986"/>
      <w:bookmarkStart w:id="160" w:name="_Toc169560654"/>
      <w:bookmarkStart w:id="161" w:name="_Toc186452619"/>
      <w:bookmarkStart w:id="162" w:name="_Toc4872"/>
      <w:r>
        <w:t>配电柜、控制柜</w:t>
      </w:r>
      <w:r>
        <w:rPr>
          <w:rFonts w:hint="eastAsia"/>
        </w:rPr>
        <w:t>设计规范</w:t>
      </w:r>
      <w:bookmarkEnd w:id="158"/>
      <w:bookmarkEnd w:id="159"/>
      <w:bookmarkEnd w:id="160"/>
      <w:bookmarkEnd w:id="161"/>
      <w:bookmarkEnd w:id="162"/>
    </w:p>
    <w:p w14:paraId="5C4BABDF">
      <w:pPr>
        <w:ind w:firstLine="480"/>
        <w:rPr>
          <w:rFonts w:hint="eastAsia" w:asciiTheme="minorEastAsia" w:hAnsiTheme="minorEastAsia" w:cstheme="minorEastAsia"/>
          <w:szCs w:val="24"/>
          <w:lang w:val="zh-CN"/>
        </w:rPr>
      </w:pPr>
      <w:r>
        <w:rPr>
          <w:rFonts w:hint="eastAsia" w:asciiTheme="minorEastAsia" w:hAnsiTheme="minorEastAsia" w:cstheme="minorEastAsia"/>
          <w:szCs w:val="24"/>
          <w:lang w:val="zh-CN"/>
        </w:rPr>
        <w:t>主控制柜包括配电部分和控制部分。</w:t>
      </w:r>
      <w:r>
        <w:rPr>
          <w:rFonts w:asciiTheme="majorEastAsia" w:hAnsiTheme="majorEastAsia" w:eastAsiaTheme="majorEastAsia"/>
          <w:szCs w:val="24"/>
        </w:rPr>
        <w:t>配电部分</w:t>
      </w:r>
      <w:r>
        <w:rPr>
          <w:rFonts w:hint="eastAsia" w:asciiTheme="minorEastAsia" w:hAnsiTheme="minorEastAsia" w:cstheme="minorEastAsia"/>
          <w:szCs w:val="24"/>
          <w:lang w:val="zh-CN"/>
        </w:rPr>
        <w:t>负责电控系统的动力输入和电源分配，主要为系统</w:t>
      </w:r>
      <w:r>
        <w:rPr>
          <w:rFonts w:hint="eastAsia" w:ascii="Times New Roman" w:hAnsi="Times New Roman" w:cs="Times New Roman"/>
        </w:rPr>
        <w:t>提供</w:t>
      </w:r>
      <w:r>
        <w:rPr>
          <w:rFonts w:hint="eastAsia" w:asciiTheme="minorEastAsia" w:hAnsiTheme="minorEastAsia" w:cstheme="minorEastAsia"/>
          <w:szCs w:val="24"/>
          <w:lang w:val="zh-CN"/>
        </w:rPr>
        <w:t>380VAC动力电源，220VAC辅助电源和24VDC控制电源。</w:t>
      </w:r>
      <w:bookmarkStart w:id="163" w:name="OLE_LINK6"/>
      <w:bookmarkStart w:id="164" w:name="OLE_LINK7"/>
      <w:r>
        <w:rPr>
          <w:rFonts w:hint="eastAsia" w:asciiTheme="minorEastAsia" w:hAnsiTheme="minorEastAsia" w:cstheme="minorEastAsia"/>
          <w:szCs w:val="24"/>
          <w:lang w:val="zh-CN"/>
        </w:rPr>
        <w:t>控制部分安装PLC控制器，是整个系统的控制中心。</w:t>
      </w:r>
    </w:p>
    <w:bookmarkEnd w:id="163"/>
    <w:bookmarkEnd w:id="164"/>
    <w:p w14:paraId="5E0D8185">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主开关通/断电采用按钮电操控制，并具有</w:t>
      </w:r>
      <w:r>
        <w:rPr>
          <w:szCs w:val="24"/>
          <w:lang w:val="en-GB"/>
        </w:rPr>
        <w:t>欠压、过流、缺相、短路保护功能</w:t>
      </w:r>
      <w:r>
        <w:rPr>
          <w:rFonts w:hint="eastAsia" w:asciiTheme="minorEastAsia" w:hAnsiTheme="minorEastAsia" w:cstheme="minorEastAsia"/>
          <w:szCs w:val="24"/>
          <w:lang w:val="zh-CN"/>
        </w:rPr>
        <w:t>。主控柜门板上设置急停按钮，确保异常状况发生时，能及时切断动力回路电源。</w:t>
      </w:r>
    </w:p>
    <w:p w14:paraId="67A1B1BD">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主控制柜的门板上</w:t>
      </w:r>
      <w:r>
        <w:rPr>
          <w:rFonts w:asciiTheme="minorEastAsia" w:hAnsiTheme="minorEastAsia" w:cstheme="minorEastAsia"/>
          <w:szCs w:val="24"/>
          <w:lang w:val="zh-CN"/>
        </w:rPr>
        <w:t>配置多功能智能仪表，</w:t>
      </w:r>
      <w:r>
        <w:rPr>
          <w:rFonts w:hint="eastAsia" w:asciiTheme="minorEastAsia" w:hAnsiTheme="minorEastAsia" w:cstheme="minorEastAsia"/>
          <w:szCs w:val="24"/>
        </w:rPr>
        <w:t>实时监控电流、电压等各种电力参数</w:t>
      </w:r>
      <w:r>
        <w:rPr>
          <w:rFonts w:asciiTheme="minorEastAsia" w:hAnsiTheme="minorEastAsia" w:cstheme="minorEastAsia"/>
          <w:szCs w:val="24"/>
          <w:lang w:val="zh-CN"/>
        </w:rPr>
        <w:t>和统计系统的能耗情况，并</w:t>
      </w:r>
      <w:r>
        <w:rPr>
          <w:rFonts w:hint="eastAsia" w:asciiTheme="minorEastAsia" w:hAnsiTheme="minorEastAsia" w:cstheme="minorEastAsia"/>
          <w:szCs w:val="24"/>
          <w:lang w:val="zh-CN"/>
        </w:rPr>
        <w:t>设置有电源指示灯、故障确认及故障消音等按钮；</w:t>
      </w:r>
    </w:p>
    <w:p w14:paraId="412C8F27">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主控制柜内设置照明日光灯，灯光由柜门开启自动点亮或人工开关点亮，日关灯配置单独保护开关，便于手工操作和维修。设置冷却风扇进行散热，各控制柜内设置维修电源插座（220VAC）。</w:t>
      </w:r>
    </w:p>
    <w:p w14:paraId="657CAFCB">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主控制柜柜采用下进线方式，内侧采用线缆槽方式布线，布局美观，接线方便。</w:t>
      </w:r>
    </w:p>
    <w:p w14:paraId="7B70FCC6">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柜内模块地址的编号标识清晰，完整，与设备相连的电缆标号清晰唯一。</w:t>
      </w:r>
    </w:p>
    <w:p w14:paraId="389E25B3">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柜内用线缆槽方式布线，布局美观，接线方便。</w:t>
      </w:r>
    </w:p>
    <w:p w14:paraId="261921EA">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预留一定数量的输入、输出点。</w:t>
      </w:r>
    </w:p>
    <w:p w14:paraId="2D36D857">
      <w:pPr>
        <w:pStyle w:val="4"/>
        <w:rPr>
          <w:rFonts w:hint="eastAsia"/>
        </w:rPr>
      </w:pPr>
      <w:bookmarkStart w:id="165" w:name="_Toc186389174"/>
      <w:bookmarkStart w:id="166" w:name="_Toc10905"/>
      <w:bookmarkStart w:id="167" w:name="_Toc29792"/>
      <w:bookmarkStart w:id="168" w:name="_Toc11036"/>
      <w:bookmarkStart w:id="169" w:name="_Toc186452620"/>
      <w:bookmarkStart w:id="170" w:name="_Toc435016946"/>
      <w:r>
        <w:rPr>
          <w:rFonts w:hint="eastAsia"/>
        </w:rPr>
        <w:t>现场控制箱设计规范</w:t>
      </w:r>
      <w:bookmarkEnd w:id="165"/>
      <w:bookmarkEnd w:id="166"/>
      <w:bookmarkEnd w:id="167"/>
      <w:bookmarkEnd w:id="168"/>
      <w:bookmarkEnd w:id="169"/>
      <w:bookmarkEnd w:id="170"/>
    </w:p>
    <w:p w14:paraId="2C163C47">
      <w:pPr>
        <w:ind w:firstLine="420" w:firstLineChars="0"/>
        <w:rPr>
          <w:rFonts w:hint="eastAsia" w:asciiTheme="minorEastAsia" w:hAnsiTheme="minorEastAsia"/>
          <w:szCs w:val="24"/>
        </w:rPr>
      </w:pPr>
      <w:r>
        <w:rPr>
          <w:rFonts w:hint="eastAsia" w:asciiTheme="minorEastAsia" w:hAnsiTheme="minorEastAsia"/>
          <w:szCs w:val="24"/>
        </w:rPr>
        <w:t>现场控制箱用于现场设备控制和检测信号采集，箱内设计有P</w:t>
      </w:r>
      <w:r>
        <w:rPr>
          <w:rFonts w:asciiTheme="minorEastAsia" w:hAnsiTheme="minorEastAsia"/>
          <w:szCs w:val="24"/>
        </w:rPr>
        <w:t>ROFINET接口、</w:t>
      </w:r>
      <w:r>
        <w:rPr>
          <w:rFonts w:hint="eastAsia" w:asciiTheme="minorEastAsia" w:hAnsiTheme="minorEastAsia"/>
          <w:szCs w:val="24"/>
        </w:rPr>
        <w:t>I</w:t>
      </w:r>
      <w:r>
        <w:rPr>
          <w:rFonts w:asciiTheme="minorEastAsia" w:hAnsiTheme="minorEastAsia"/>
          <w:szCs w:val="24"/>
        </w:rPr>
        <w:t>/O模块、电机启动器、变频器、稳压电源等器件</w:t>
      </w:r>
    </w:p>
    <w:p w14:paraId="6C132BE2">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现场控制箱面板设置有急停按钮、电源指示、故障指示灯；</w:t>
      </w:r>
    </w:p>
    <w:p w14:paraId="368770DE">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每个控制箱均设计单独控制电源（24VDC）,容量满足本I/O箱控制区域中24VDC器件供电要求；</w:t>
      </w:r>
    </w:p>
    <w:p w14:paraId="0501C08E">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箱内预留适当的</w:t>
      </w:r>
      <w:r>
        <w:rPr>
          <w:rFonts w:asciiTheme="minorEastAsia" w:hAnsiTheme="minorEastAsia" w:cstheme="minorEastAsia"/>
          <w:szCs w:val="24"/>
        </w:rPr>
        <w:t>I/O点，方便系统的扩充</w:t>
      </w:r>
    </w:p>
    <w:p w14:paraId="2F44BB23">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动力线采用直接进线方式，不经端子连接；</w:t>
      </w:r>
    </w:p>
    <w:p w14:paraId="7ACC065A">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箱内采用线缆槽方式布线，要求布局美观，接线方便；</w:t>
      </w:r>
    </w:p>
    <w:p w14:paraId="001CA655">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线色、线径要求符合国家标准，端子排、线号与主电柜规范一致，与设备相连的电缆标号要清晰唯一；</w:t>
      </w:r>
    </w:p>
    <w:p w14:paraId="6625B343">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控制箱的安装遵循集中、可视、安全的原则。</w:t>
      </w:r>
    </w:p>
    <w:p w14:paraId="4F5B0DDF">
      <w:pPr>
        <w:pStyle w:val="4"/>
        <w:rPr>
          <w:rFonts w:hint="eastAsia"/>
        </w:rPr>
      </w:pPr>
      <w:bookmarkStart w:id="171" w:name="_Toc5256"/>
      <w:bookmarkStart w:id="172" w:name="_Toc14261"/>
      <w:bookmarkStart w:id="173" w:name="_Toc186389175"/>
      <w:bookmarkStart w:id="174" w:name="_Toc186452621"/>
      <w:r>
        <w:rPr>
          <w:rFonts w:hint="eastAsia"/>
        </w:rPr>
        <w:t>电机控制设计规范</w:t>
      </w:r>
      <w:bookmarkEnd w:id="171"/>
      <w:bookmarkEnd w:id="172"/>
      <w:bookmarkEnd w:id="173"/>
      <w:bookmarkEnd w:id="174"/>
    </w:p>
    <w:p w14:paraId="733007E3">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每台电机均配置单独的控制器件；</w:t>
      </w:r>
    </w:p>
    <w:p w14:paraId="14AB948A">
      <w:pPr>
        <w:numPr>
          <w:ilvl w:val="0"/>
          <w:numId w:val="6"/>
        </w:numPr>
        <w:ind w:firstLine="0" w:firstLineChars="0"/>
        <w:rPr>
          <w:rFonts w:hint="eastAsia" w:asciiTheme="minorEastAsia" w:hAnsiTheme="minorEastAsia" w:cstheme="minorEastAsia"/>
          <w:szCs w:val="24"/>
        </w:rPr>
      </w:pPr>
      <w:r>
        <w:rPr>
          <w:rFonts w:asciiTheme="minorEastAsia" w:hAnsiTheme="minorEastAsia" w:cstheme="minorEastAsia"/>
          <w:szCs w:val="24"/>
        </w:rPr>
        <w:t>每台电机都具有缺相、过流、过载及短路保护功能；</w:t>
      </w:r>
    </w:p>
    <w:p w14:paraId="156E3C64">
      <w:pPr>
        <w:numPr>
          <w:ilvl w:val="0"/>
          <w:numId w:val="6"/>
        </w:numPr>
        <w:ind w:firstLine="0" w:firstLineChars="0"/>
        <w:rPr>
          <w:rFonts w:hint="eastAsia" w:asciiTheme="minorEastAsia" w:hAnsiTheme="minorEastAsia" w:cstheme="minorEastAsia"/>
          <w:szCs w:val="24"/>
        </w:rPr>
      </w:pPr>
      <w:r>
        <w:rPr>
          <w:rFonts w:asciiTheme="minorEastAsia" w:hAnsiTheme="minorEastAsia" w:cstheme="minorEastAsia"/>
          <w:szCs w:val="24"/>
        </w:rPr>
        <w:t>PLC实时采集电机的运行、故障状态，并在现场触摸屏上实时监控；</w:t>
      </w:r>
    </w:p>
    <w:p w14:paraId="410F7C07">
      <w:pPr>
        <w:numPr>
          <w:ilvl w:val="0"/>
          <w:numId w:val="6"/>
        </w:numPr>
        <w:ind w:firstLine="0" w:firstLineChars="0"/>
        <w:rPr>
          <w:rFonts w:hint="eastAsia" w:asciiTheme="minorEastAsia" w:hAnsiTheme="minorEastAsia" w:cstheme="minorEastAsia"/>
          <w:szCs w:val="24"/>
        </w:rPr>
      </w:pPr>
      <w:r>
        <w:rPr>
          <w:rFonts w:asciiTheme="minorEastAsia" w:hAnsiTheme="minorEastAsia" w:cstheme="minorEastAsia"/>
          <w:szCs w:val="24"/>
        </w:rPr>
        <w:t>每台电机均具有自动、手动运行模式，并提供相应的操作按钮；</w:t>
      </w:r>
    </w:p>
    <w:p w14:paraId="0A15FF20">
      <w:pPr>
        <w:pStyle w:val="4"/>
        <w:rPr>
          <w:rFonts w:hint="eastAsia"/>
        </w:rPr>
      </w:pPr>
      <w:bookmarkStart w:id="175" w:name="_Toc2318"/>
      <w:bookmarkStart w:id="176" w:name="_Toc186389176"/>
      <w:bookmarkStart w:id="177" w:name="_Toc11651"/>
      <w:bookmarkStart w:id="178" w:name="_Toc186452622"/>
      <w:r>
        <w:rPr>
          <w:rFonts w:hint="eastAsia"/>
        </w:rPr>
        <w:t>现场操作员终端</w:t>
      </w:r>
      <w:bookmarkEnd w:id="175"/>
      <w:bookmarkEnd w:id="176"/>
      <w:bookmarkEnd w:id="177"/>
      <w:bookmarkEnd w:id="178"/>
    </w:p>
    <w:p w14:paraId="08E9154B">
      <w:pPr>
        <w:ind w:firstLine="480"/>
        <w:rPr>
          <w:rFonts w:hint="eastAsia" w:asciiTheme="minorEastAsia" w:hAnsiTheme="minorEastAsia" w:cstheme="minorEastAsia"/>
          <w:szCs w:val="24"/>
        </w:rPr>
      </w:pPr>
      <w:r>
        <w:rPr>
          <w:rFonts w:hint="eastAsia" w:asciiTheme="minorEastAsia" w:hAnsiTheme="minorEastAsia" w:cstheme="minorEastAsia"/>
          <w:szCs w:val="24"/>
        </w:rPr>
        <w:t>电控系统分片设置有现场操作员终端，本方案选用触摸屏作为操作员终端，接入</w:t>
      </w:r>
      <w:r>
        <w:rPr>
          <w:rFonts w:hint="eastAsia" w:asciiTheme="minorEastAsia" w:hAnsiTheme="minorEastAsia" w:cstheme="minorEastAsia"/>
          <w:color w:val="000000"/>
          <w:kern w:val="0"/>
          <w:szCs w:val="24"/>
        </w:rPr>
        <w:t>以太网</w:t>
      </w:r>
      <w:r>
        <w:rPr>
          <w:rFonts w:hint="eastAsia" w:asciiTheme="minorEastAsia" w:hAnsiTheme="minorEastAsia" w:cstheme="minorEastAsia"/>
          <w:szCs w:val="24"/>
        </w:rPr>
        <w:t>与主控制器通信。操作员终端是提供给现场操作人员的人机界面，具有如下主要</w:t>
      </w:r>
      <w:r>
        <w:rPr>
          <w:rFonts w:hint="eastAsia" w:ascii="Times New Roman" w:hAnsi="Times New Roman" w:cs="Times New Roman"/>
        </w:rPr>
        <w:t>功能</w:t>
      </w:r>
      <w:r>
        <w:rPr>
          <w:rFonts w:hint="eastAsia" w:asciiTheme="minorEastAsia" w:hAnsiTheme="minorEastAsia" w:cstheme="minorEastAsia"/>
          <w:szCs w:val="24"/>
        </w:rPr>
        <w:t>和特点：</w:t>
      </w:r>
    </w:p>
    <w:p w14:paraId="70E2873B">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主要功能：完成对设备的分段监视、分段控制、故障报警、主要工艺参数及物流信息的查询与维护、手动操作等。</w:t>
      </w:r>
    </w:p>
    <w:p w14:paraId="3D6AC9FC">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lang w:val="zh-CN"/>
        </w:rPr>
        <w:t>图形页面按照系统平面布置来显示所监控的对象，界面友好，操作方便、易用</w:t>
      </w:r>
      <w:r>
        <w:rPr>
          <w:rFonts w:hint="eastAsia" w:asciiTheme="minorEastAsia" w:hAnsiTheme="minorEastAsia" w:cstheme="minorEastAsia"/>
          <w:szCs w:val="24"/>
        </w:rPr>
        <w:t>；</w:t>
      </w:r>
    </w:p>
    <w:p w14:paraId="44D3A396">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故障报警：有故障发生时，通过塔式报警灯发出声光报警提示，并在操作画面上弹出报警信息框，显示故障信息并进行故障定位等；</w:t>
      </w:r>
    </w:p>
    <w:p w14:paraId="06377F92">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密码登录管理功能：进入系统的口令验证，确保只有授权人员进行系统操作，权限不同进入的界面和允许的操作权限不同。</w:t>
      </w:r>
    </w:p>
    <w:p w14:paraId="1A25C1DC">
      <w:pPr>
        <w:pStyle w:val="4"/>
        <w:rPr>
          <w:rFonts w:hint="eastAsia"/>
        </w:rPr>
      </w:pPr>
      <w:bookmarkStart w:id="179" w:name="_Toc28333"/>
      <w:bookmarkStart w:id="180" w:name="_Toc186389177"/>
      <w:bookmarkStart w:id="181" w:name="_Toc25640"/>
      <w:bookmarkStart w:id="182" w:name="_Toc186452623"/>
      <w:r>
        <w:rPr>
          <w:rFonts w:hint="eastAsia"/>
        </w:rPr>
        <w:t>条码识别</w:t>
      </w:r>
      <w:bookmarkEnd w:id="179"/>
      <w:bookmarkEnd w:id="180"/>
      <w:bookmarkEnd w:id="181"/>
      <w:bookmarkEnd w:id="182"/>
    </w:p>
    <w:p w14:paraId="358AC2C7">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本方案中条码识别器选用图像式产品，兼容一维和二维条码，通过条码识别器对纸卷条码进行识别，条码识别器通过PROFNET总线与主控制器P</w:t>
      </w:r>
      <w:r>
        <w:rPr>
          <w:rFonts w:asciiTheme="minorEastAsia" w:hAnsiTheme="minorEastAsia" w:cstheme="minorEastAsia"/>
          <w:color w:val="000000"/>
          <w:kern w:val="0"/>
          <w:szCs w:val="24"/>
        </w:rPr>
        <w:t>LC</w:t>
      </w:r>
      <w:r>
        <w:rPr>
          <w:rFonts w:hint="eastAsia" w:asciiTheme="minorEastAsia" w:hAnsiTheme="minorEastAsia" w:cstheme="minorEastAsia"/>
          <w:color w:val="000000"/>
          <w:kern w:val="0"/>
          <w:szCs w:val="24"/>
        </w:rPr>
        <w:t>进行通信。</w:t>
      </w:r>
    </w:p>
    <w:p w14:paraId="275F2C6E">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条码识别器采用落地</w:t>
      </w:r>
      <w:r>
        <w:rPr>
          <w:rFonts w:hint="eastAsia" w:ascii="Times New Roman" w:hAnsi="Times New Roman" w:cs="Times New Roman"/>
        </w:rPr>
        <w:t>支架</w:t>
      </w:r>
      <w:r>
        <w:rPr>
          <w:rFonts w:hint="eastAsia" w:asciiTheme="minorEastAsia" w:hAnsiTheme="minorEastAsia" w:cstheme="minorEastAsia"/>
          <w:color w:val="000000"/>
          <w:kern w:val="0"/>
          <w:szCs w:val="24"/>
        </w:rPr>
        <w:t>安装，不固定在设备机体上，避免设备震动对条码识别器的影响。</w:t>
      </w:r>
    </w:p>
    <w:p w14:paraId="09382D2A">
      <w:pPr>
        <w:pStyle w:val="4"/>
        <w:rPr>
          <w:rFonts w:hint="eastAsia"/>
        </w:rPr>
      </w:pPr>
      <w:bookmarkStart w:id="183" w:name="_Toc28096"/>
      <w:bookmarkStart w:id="184" w:name="_Toc27048"/>
      <w:bookmarkStart w:id="185" w:name="_Toc186452624"/>
      <w:bookmarkStart w:id="186" w:name="_Toc186389178"/>
      <w:r>
        <w:rPr>
          <w:rFonts w:hint="eastAsia"/>
        </w:rPr>
        <w:t>电缆桥架</w:t>
      </w:r>
      <w:bookmarkEnd w:id="183"/>
      <w:bookmarkEnd w:id="184"/>
      <w:bookmarkEnd w:id="185"/>
      <w:bookmarkEnd w:id="186"/>
    </w:p>
    <w:p w14:paraId="4B295662">
      <w:pPr>
        <w:ind w:firstLine="480"/>
        <w:rPr>
          <w:szCs w:val="24"/>
        </w:rPr>
      </w:pPr>
      <w:r>
        <w:rPr>
          <w:rFonts w:hint="eastAsia" w:asciiTheme="minorEastAsia" w:hAnsiTheme="minorEastAsia" w:cstheme="minorEastAsia"/>
          <w:color w:val="000000"/>
          <w:kern w:val="0"/>
          <w:szCs w:val="24"/>
        </w:rPr>
        <w:t>为了减少电缆线之间的干扰，提高自动化系统的抗干扰能力，保障自动化系统运行的稳定性、可靠性，我们对电缆、桥架敷设及系统布线科学设计。现场电缆桥架的设计及敷设遵循以下原则：</w:t>
      </w:r>
    </w:p>
    <w:p w14:paraId="0BE3DB4D">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桥架内增加隔板设计，动力电缆和通讯电缆分开敷设。</w:t>
      </w:r>
    </w:p>
    <w:p w14:paraId="3F60C974">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电缆桥架的设计和安装标准：中国工程建设标准化协会标准《钢制电缆桥架工程设计规范CECS31:2006》。</w:t>
      </w:r>
    </w:p>
    <w:p w14:paraId="7F1D2E9E">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设计时考虑电缆填充留有一定的空间，以免桥架内部热量积累，过热烧毁电缆。桥架的电缆填充率为：动力电缆为55%-60%，控制电缆为50%-70%。</w:t>
      </w:r>
    </w:p>
    <w:p w14:paraId="1D926E8B">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桥架始末端，必须用终端封头加以封闭，以减少灰尘进入量。电缆敷设完毕，加装桥架盖板并加以紧固。</w:t>
      </w:r>
    </w:p>
    <w:p w14:paraId="15A789D0">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在确定支、吊架跨距时，除满足工作均布荷载小于或等于额定均布荷载之外还满足相对挠度小于或等于1/200。</w:t>
      </w:r>
    </w:p>
    <w:p w14:paraId="575EB6B2">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实施时考虑桥架伸缩缝。伸缩缝是为电缆桥架系统热胀冷缩在安装中预留的安装间隙。</w:t>
      </w:r>
    </w:p>
    <w:p w14:paraId="6793A51A">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进出桥架的电缆采用PG接头与桥架连接，桥架到设备器件的电缆采用软管进行保护。</w:t>
      </w:r>
    </w:p>
    <w:p w14:paraId="2631B981">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所有现场安装的器件及安装附件（包括各接头、线管等）防护等级&gt;=IP54，现场箱体内的控制器件的防护等级为IP20。机上布线&lt;500mm采用电缆直接锁紧式接头，&gt;500mm采用软管走线。</w:t>
      </w:r>
    </w:p>
    <w:p w14:paraId="5CA64248">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所有电缆均配有电缆标记条、标记号。</w:t>
      </w:r>
    </w:p>
    <w:p w14:paraId="7149BBBD">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所有控制器件，包括主控柜、分布式控制箱、接线盒、隔离开关等均设有标识标牌，标识清晰牢固。</w:t>
      </w:r>
    </w:p>
    <w:p w14:paraId="34B43DF8">
      <w:pPr>
        <w:pStyle w:val="3"/>
      </w:pPr>
      <w:bookmarkStart w:id="187" w:name="_Toc169560655"/>
      <w:bookmarkStart w:id="188" w:name="_Toc4685"/>
      <w:bookmarkStart w:id="189" w:name="_Toc186389179"/>
      <w:bookmarkStart w:id="190" w:name="_Toc186452625"/>
      <w:bookmarkStart w:id="191" w:name="_Toc27110"/>
      <w:r>
        <w:rPr>
          <w:rFonts w:hint="eastAsia"/>
        </w:rPr>
        <w:t>电控系统配置</w:t>
      </w:r>
      <w:bookmarkEnd w:id="187"/>
      <w:bookmarkEnd w:id="188"/>
      <w:bookmarkEnd w:id="189"/>
      <w:bookmarkEnd w:id="190"/>
      <w:bookmarkEnd w:id="191"/>
    </w:p>
    <w:p w14:paraId="01BA13C3">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整个系统设计了</w:t>
      </w:r>
      <w:r>
        <w:rPr>
          <w:rFonts w:asciiTheme="minorEastAsia" w:hAnsiTheme="minorEastAsia" w:cstheme="minorEastAsia"/>
          <w:color w:val="000000"/>
          <w:kern w:val="0"/>
          <w:szCs w:val="24"/>
        </w:rPr>
        <w:t>1</w:t>
      </w:r>
      <w:r>
        <w:rPr>
          <w:rFonts w:hint="eastAsia" w:asciiTheme="minorEastAsia" w:hAnsiTheme="minorEastAsia" w:cstheme="minorEastAsia"/>
          <w:color w:val="000000"/>
          <w:kern w:val="0"/>
          <w:szCs w:val="24"/>
        </w:rPr>
        <w:t>套</w:t>
      </w:r>
      <w:r>
        <w:rPr>
          <w:rFonts w:hint="eastAsia" w:ascii="Times New Roman" w:hAnsi="Times New Roman" w:cs="Times New Roman"/>
        </w:rPr>
        <w:t>PLC</w:t>
      </w:r>
      <w:r>
        <w:rPr>
          <w:rFonts w:hint="eastAsia" w:asciiTheme="minorEastAsia" w:hAnsiTheme="minorEastAsia" w:cstheme="minorEastAsia"/>
          <w:color w:val="000000"/>
          <w:kern w:val="0"/>
          <w:szCs w:val="24"/>
        </w:rPr>
        <w:t>主控系统，N</w:t>
      </w:r>
      <w:r>
        <w:rPr>
          <w:rFonts w:asciiTheme="minorEastAsia" w:hAnsiTheme="minorEastAsia" w:cstheme="minorEastAsia"/>
          <w:color w:val="000000"/>
          <w:kern w:val="0"/>
          <w:szCs w:val="24"/>
        </w:rPr>
        <w:t>个现场控制箱，</w:t>
      </w:r>
      <w:r>
        <w:rPr>
          <w:rFonts w:hint="eastAsia" w:asciiTheme="minorEastAsia" w:hAnsiTheme="minorEastAsia" w:cstheme="minorEastAsia"/>
          <w:color w:val="000000"/>
          <w:kern w:val="0"/>
          <w:szCs w:val="24"/>
        </w:rPr>
        <w:t>同时设计了现场监控及操作的触摸式</w:t>
      </w:r>
      <w:r>
        <w:rPr>
          <w:rFonts w:hint="eastAsia" w:ascii="Times New Roman" w:hAnsi="Times New Roman" w:cs="Times New Roman"/>
        </w:rPr>
        <w:t>操作员</w:t>
      </w:r>
      <w:r>
        <w:rPr>
          <w:rFonts w:hint="eastAsia" w:asciiTheme="minorEastAsia" w:hAnsiTheme="minorEastAsia" w:cstheme="minorEastAsia"/>
          <w:color w:val="000000"/>
          <w:kern w:val="0"/>
          <w:szCs w:val="24"/>
        </w:rPr>
        <w:t>终端，便于系统的操作、维护。</w:t>
      </w:r>
    </w:p>
    <w:p w14:paraId="5A94C9F3">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P</w:t>
      </w:r>
      <w:r>
        <w:rPr>
          <w:rFonts w:asciiTheme="minorEastAsia" w:hAnsiTheme="minorEastAsia" w:cstheme="minorEastAsia"/>
          <w:color w:val="000000"/>
          <w:kern w:val="0"/>
          <w:szCs w:val="24"/>
        </w:rPr>
        <w:t>LC</w:t>
      </w:r>
      <w:r>
        <w:rPr>
          <w:rFonts w:hint="eastAsia" w:asciiTheme="minorEastAsia" w:hAnsiTheme="minorEastAsia" w:cstheme="minorEastAsia"/>
          <w:color w:val="000000"/>
          <w:kern w:val="0"/>
          <w:szCs w:val="24"/>
        </w:rPr>
        <w:t>通过以太网与上位机系统通信，完成信息联动控制，控制柜具体点位布置详见总体工艺规划图。</w:t>
      </w:r>
    </w:p>
    <w:p w14:paraId="19144C45">
      <w:pPr>
        <w:pStyle w:val="3"/>
      </w:pPr>
      <w:bookmarkStart w:id="192" w:name="_Toc186389180"/>
      <w:bookmarkStart w:id="193" w:name="_Toc169560656"/>
      <w:bookmarkStart w:id="194" w:name="_Toc186452626"/>
      <w:bookmarkStart w:id="195" w:name="_Toc3027"/>
      <w:bookmarkStart w:id="196" w:name="_Toc3234"/>
      <w:r>
        <w:rPr>
          <w:rFonts w:hint="eastAsia"/>
        </w:rPr>
        <w:t>电控系统主要功能</w:t>
      </w:r>
      <w:bookmarkEnd w:id="192"/>
      <w:bookmarkEnd w:id="193"/>
      <w:bookmarkEnd w:id="194"/>
      <w:bookmarkEnd w:id="195"/>
      <w:bookmarkEnd w:id="196"/>
    </w:p>
    <w:p w14:paraId="3ABEA724">
      <w:pPr>
        <w:pStyle w:val="4"/>
        <w:rPr>
          <w:rFonts w:hint="eastAsia"/>
          <w:lang w:val="en-US"/>
        </w:rPr>
      </w:pPr>
      <w:bookmarkStart w:id="197" w:name="_Toc15501"/>
      <w:bookmarkStart w:id="198" w:name="_Toc186452627"/>
      <w:bookmarkStart w:id="199" w:name="_Toc8649"/>
      <w:bookmarkStart w:id="200" w:name="_Toc186389181"/>
      <w:r>
        <w:rPr>
          <w:rFonts w:hint="eastAsia"/>
          <w:lang w:val="en-US"/>
        </w:rPr>
        <w:t>具备多种控制模式</w:t>
      </w:r>
      <w:bookmarkEnd w:id="197"/>
      <w:bookmarkEnd w:id="198"/>
      <w:bookmarkEnd w:id="199"/>
      <w:bookmarkEnd w:id="200"/>
    </w:p>
    <w:p w14:paraId="3F1EF322">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手动控制：电控系统提供手动操作功能。在此控制方式下，操作人员可以通过设备上的操作按钮或现场操作终端对设备、执行机构动作进行操作。</w:t>
      </w:r>
    </w:p>
    <w:p w14:paraId="21623E23">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单机控制：电控系统与上位计算机离线，操作人员可在现场操作员终端输入指令实现对各输送设备的单机自动控制，包括电机启／停、执行机构的动作等，实现对物流和数据流的自动传输，满足与上位计算机离线时的输送任务。</w:t>
      </w:r>
    </w:p>
    <w:p w14:paraId="50F695F0">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联机自动控制：正常情况下，电控系统与上位调度计算机保持通讯连接，由上位调度计算机下达物料输送命令，电控系统接受命令对各输送设备进行动作控制，包括电机启／停、执行机构的动作等，从而实现对物流和数据流的自动传输，最终满足工艺流程的要求。</w:t>
      </w:r>
    </w:p>
    <w:p w14:paraId="1EE2EE22">
      <w:pPr>
        <w:pStyle w:val="4"/>
        <w:rPr>
          <w:rFonts w:hint="eastAsia"/>
          <w:lang w:val="en-US"/>
        </w:rPr>
      </w:pPr>
      <w:bookmarkStart w:id="201" w:name="_Toc12795"/>
      <w:bookmarkStart w:id="202" w:name="_Toc186389182"/>
      <w:bookmarkStart w:id="203" w:name="_Toc457505955"/>
      <w:bookmarkStart w:id="204" w:name="_Toc186452628"/>
      <w:bookmarkStart w:id="205" w:name="_Toc29459"/>
      <w:bookmarkStart w:id="206" w:name="_Toc267573112"/>
      <w:r>
        <w:rPr>
          <w:rFonts w:hint="eastAsia"/>
          <w:lang w:val="en-US"/>
        </w:rPr>
        <w:t>故障自动诊断报警功能</w:t>
      </w:r>
      <w:bookmarkEnd w:id="201"/>
      <w:bookmarkEnd w:id="202"/>
      <w:bookmarkEnd w:id="203"/>
      <w:bookmarkEnd w:id="204"/>
      <w:bookmarkEnd w:id="205"/>
      <w:bookmarkEnd w:id="206"/>
    </w:p>
    <w:p w14:paraId="02D64EF2">
      <w:pPr>
        <w:ind w:firstLine="420" w:firstLineChars="0"/>
        <w:rPr>
          <w:rFonts w:hint="eastAsia" w:ascii="宋体" w:hAnsi="宋体"/>
          <w:szCs w:val="24"/>
        </w:rPr>
      </w:pPr>
      <w:r>
        <w:rPr>
          <w:rFonts w:hint="eastAsia" w:asciiTheme="minorEastAsia" w:hAnsiTheme="minorEastAsia" w:cstheme="minorEastAsia"/>
          <w:color w:val="000000"/>
          <w:kern w:val="0"/>
          <w:szCs w:val="24"/>
        </w:rPr>
        <w:t>电控系统实时监控所控设备的运行状况，当任何一台设备出现故障时，能自动诊断并产生相应的声光报警并在现场终端上定位故障点、显示故障信息，方便维护和操作人员迅速排除故障，减少系统停机时间。故障大概分为如下几类：</w:t>
      </w:r>
    </w:p>
    <w:p w14:paraId="729F3D0D">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主控柜故障：如控制电源故障、负载电源故障、PLC电池故障；</w:t>
      </w:r>
    </w:p>
    <w:p w14:paraId="61F62332">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单台设备故障：如空开故障、变频器故障、隔离开关故障、超时故障；</w:t>
      </w:r>
    </w:p>
    <w:p w14:paraId="3AB10F4E">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功能性故障：如条码识别故障；</w:t>
      </w:r>
    </w:p>
    <w:p w14:paraId="35A4EA85">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安全保护故障：如急停故障；</w:t>
      </w:r>
    </w:p>
    <w:p w14:paraId="12C5B93A">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网络故障：如子站离线故障。</w:t>
      </w:r>
    </w:p>
    <w:p w14:paraId="465F8F6E">
      <w:pPr>
        <w:pStyle w:val="4"/>
        <w:rPr>
          <w:rFonts w:hint="eastAsia"/>
          <w:lang w:val="en-US"/>
        </w:rPr>
      </w:pPr>
      <w:bookmarkStart w:id="207" w:name="_Toc16975"/>
      <w:bookmarkStart w:id="208" w:name="_Toc267573113"/>
      <w:bookmarkStart w:id="209" w:name="_Toc13670"/>
      <w:bookmarkStart w:id="210" w:name="_Toc457505956"/>
      <w:bookmarkStart w:id="211" w:name="_Toc186452629"/>
      <w:bookmarkStart w:id="212" w:name="_Toc186389183"/>
      <w:r>
        <w:rPr>
          <w:rFonts w:hint="eastAsia"/>
          <w:lang w:val="en-US"/>
        </w:rPr>
        <w:t>设备监控功能</w:t>
      </w:r>
      <w:bookmarkEnd w:id="207"/>
      <w:bookmarkEnd w:id="208"/>
      <w:bookmarkEnd w:id="209"/>
      <w:bookmarkEnd w:id="210"/>
      <w:bookmarkEnd w:id="211"/>
      <w:bookmarkEnd w:id="212"/>
    </w:p>
    <w:p w14:paraId="5B0E52FD">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电控系统设置现场操作员终端，在现场操作终端上通过图文结合方式反应各台输送设备的运行情况、检测开关的状态、货物信息、故障信息等，并可对设备进行手动操作、故障确认与信息维护。</w:t>
      </w:r>
    </w:p>
    <w:p w14:paraId="4F92A08E">
      <w:pPr>
        <w:pStyle w:val="4"/>
        <w:rPr>
          <w:rFonts w:hint="eastAsia"/>
          <w:lang w:val="en-US"/>
        </w:rPr>
      </w:pPr>
      <w:bookmarkStart w:id="213" w:name="_Toc186452630"/>
      <w:bookmarkStart w:id="214" w:name="_Toc267573114"/>
      <w:bookmarkStart w:id="215" w:name="_Toc21126"/>
      <w:bookmarkStart w:id="216" w:name="_Toc186389184"/>
      <w:bookmarkStart w:id="217" w:name="_Toc26920"/>
      <w:bookmarkStart w:id="218" w:name="_Toc457505957"/>
      <w:r>
        <w:rPr>
          <w:rFonts w:hint="eastAsia"/>
          <w:lang w:val="en-US"/>
        </w:rPr>
        <w:t>信息查询及维护功能</w:t>
      </w:r>
      <w:bookmarkEnd w:id="213"/>
      <w:bookmarkEnd w:id="214"/>
      <w:bookmarkEnd w:id="215"/>
      <w:bookmarkEnd w:id="216"/>
      <w:bookmarkEnd w:id="217"/>
      <w:bookmarkEnd w:id="218"/>
    </w:p>
    <w:p w14:paraId="47264FF6">
      <w:pPr>
        <w:ind w:firstLine="480"/>
        <w:rPr>
          <w:rFonts w:hint="eastAsia" w:ascii="宋体" w:hAnsi="宋体"/>
          <w:szCs w:val="24"/>
        </w:rPr>
      </w:pPr>
      <w:r>
        <w:rPr>
          <w:rFonts w:hint="eastAsia" w:asciiTheme="minorEastAsia" w:hAnsiTheme="minorEastAsia" w:cstheme="minorEastAsia"/>
          <w:color w:val="000000"/>
          <w:kern w:val="0"/>
          <w:szCs w:val="24"/>
        </w:rPr>
        <w:t>操作人员可在现场操作员</w:t>
      </w:r>
      <w:r>
        <w:rPr>
          <w:rFonts w:hint="eastAsia" w:ascii="Times New Roman" w:hAnsi="Times New Roman" w:cs="Times New Roman"/>
        </w:rPr>
        <w:t>终端</w:t>
      </w:r>
      <w:r>
        <w:rPr>
          <w:rFonts w:hint="eastAsia" w:asciiTheme="minorEastAsia" w:hAnsiTheme="minorEastAsia" w:cstheme="minorEastAsia"/>
          <w:color w:val="000000"/>
          <w:kern w:val="0"/>
          <w:szCs w:val="24"/>
        </w:rPr>
        <w:t>上查询输送设备当前输送物料的信息，必要时也可以对这些信息进行有权限的人工维护。</w:t>
      </w:r>
    </w:p>
    <w:p w14:paraId="23D66B2F">
      <w:pPr>
        <w:pStyle w:val="4"/>
        <w:rPr>
          <w:rFonts w:hint="eastAsia"/>
          <w:lang w:val="en-US"/>
        </w:rPr>
      </w:pPr>
      <w:bookmarkStart w:id="219" w:name="_Toc267573115"/>
      <w:bookmarkStart w:id="220" w:name="_Toc12304"/>
      <w:bookmarkStart w:id="221" w:name="_Toc457505958"/>
      <w:bookmarkStart w:id="222" w:name="_Toc186389185"/>
      <w:bookmarkStart w:id="223" w:name="_Toc186452631"/>
      <w:bookmarkStart w:id="224" w:name="_Toc31432"/>
      <w:r>
        <w:rPr>
          <w:rFonts w:hint="eastAsia"/>
          <w:lang w:val="en-US"/>
        </w:rPr>
        <w:t>安全保护功能</w:t>
      </w:r>
      <w:bookmarkEnd w:id="219"/>
      <w:bookmarkEnd w:id="220"/>
      <w:bookmarkEnd w:id="221"/>
      <w:bookmarkEnd w:id="222"/>
      <w:bookmarkEnd w:id="223"/>
      <w:bookmarkEnd w:id="224"/>
    </w:p>
    <w:p w14:paraId="73DAA33E">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电控系统设计充分考虑了人员、设备和货物的安全，并采取了多项安全保护措施。</w:t>
      </w:r>
    </w:p>
    <w:p w14:paraId="25B57211">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急停保护：控制柜、重要设备、人员操作工位附近均设有急停按钮。当出现紧急情况时，按下急停按钮后，该控制段内所有设备立即全部停止运行，按下主控柜上的急停按钮后可以切断动力电源。解除紧急情况后，系统须故障确认后方可正常工作。</w:t>
      </w:r>
    </w:p>
    <w:p w14:paraId="3CE5C96C">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急停优先于所有其他功能和操作，急停被触发时会在灯塔上产生声光告警；</w:t>
      </w:r>
    </w:p>
    <w:p w14:paraId="566D0681">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急停控制按片区划分为若干急停闭锁区，急停按钮拍下时，所管辖的所有动力设备均应立即停止；但不关联的急停闭锁区不会相互干扰；</w:t>
      </w:r>
    </w:p>
    <w:p w14:paraId="2F9F6DA3">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 xml:space="preserve">在堆垛机等设备的周围设有连锁安全门，当安全门被打开时，运行设备将停止运行，以保护现场设备和人员的安全。 </w:t>
      </w:r>
    </w:p>
    <w:p w14:paraId="123DD9D7">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在接驳口位置设计双重光电保护，防止货物意外跌落；</w:t>
      </w:r>
    </w:p>
    <w:p w14:paraId="69DAB57D">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在软件上所有设备均设计了超时保护功能；</w:t>
      </w:r>
    </w:p>
    <w:p w14:paraId="067178F2">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设备维修安全保护：设备配置保护开关，当对设备进行维修或维护保养时，通过断开保护开关可以切断设备动力电源，并把设备运行状态切换到手动运行模式，从而保证操作、维修人员的安全。</w:t>
      </w:r>
    </w:p>
    <w:p w14:paraId="4A398B0B">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设备金属外壳均可靠接地。</w:t>
      </w:r>
    </w:p>
    <w:p w14:paraId="1C980881">
      <w:pPr>
        <w:pStyle w:val="3"/>
      </w:pPr>
      <w:bookmarkStart w:id="225" w:name="_Toc169560657"/>
      <w:bookmarkStart w:id="226" w:name="_Toc186452632"/>
      <w:bookmarkStart w:id="227" w:name="_Toc8236"/>
      <w:bookmarkStart w:id="228" w:name="_Toc16208"/>
      <w:bookmarkStart w:id="229" w:name="_Toc186389186"/>
      <w:r>
        <w:rPr>
          <w:rFonts w:hint="eastAsia"/>
        </w:rPr>
        <w:t>抗干扰措施</w:t>
      </w:r>
      <w:bookmarkEnd w:id="225"/>
      <w:bookmarkEnd w:id="226"/>
      <w:bookmarkEnd w:id="227"/>
      <w:bookmarkEnd w:id="228"/>
      <w:bookmarkEnd w:id="229"/>
    </w:p>
    <w:p w14:paraId="0F8AF8BC">
      <w:pPr>
        <w:pStyle w:val="4"/>
        <w:rPr>
          <w:rFonts w:hint="eastAsia"/>
          <w:lang w:val="en-US"/>
        </w:rPr>
      </w:pPr>
      <w:bookmarkStart w:id="230" w:name="_Toc186389187"/>
      <w:bookmarkStart w:id="231" w:name="_Toc17731"/>
      <w:bookmarkStart w:id="232" w:name="_Toc23501"/>
      <w:bookmarkStart w:id="233" w:name="_Toc186452633"/>
      <w:r>
        <w:rPr>
          <w:rFonts w:hint="eastAsia"/>
          <w:lang w:val="en-US"/>
        </w:rPr>
        <w:t>抗光干扰</w:t>
      </w:r>
      <w:bookmarkEnd w:id="230"/>
      <w:bookmarkEnd w:id="231"/>
      <w:bookmarkEnd w:id="232"/>
      <w:bookmarkEnd w:id="233"/>
    </w:p>
    <w:p w14:paraId="6174FCCB">
      <w:pPr>
        <w:autoSpaceDE w:val="0"/>
        <w:autoSpaceDN w:val="0"/>
        <w:adjustRightInd w:val="0"/>
        <w:ind w:firstLine="0" w:firstLineChars="0"/>
        <w:rPr>
          <w:rFonts w:hint="eastAsia" w:ascii="宋体" w:hAnsi="宋体"/>
          <w:lang w:val="zh-CN"/>
        </w:rPr>
      </w:pPr>
      <w:r>
        <w:rPr>
          <w:rFonts w:hint="eastAsia" w:ascii="宋体" w:hAnsi="宋体"/>
          <w:lang w:val="zh-CN"/>
        </w:rPr>
        <w:t>为使</w:t>
      </w:r>
      <w:r>
        <w:rPr>
          <w:rFonts w:ascii="宋体" w:hAnsi="宋体"/>
          <w:lang w:val="zh-CN"/>
        </w:rPr>
        <w:t>系统稳定可靠运行</w:t>
      </w:r>
      <w:r>
        <w:rPr>
          <w:rFonts w:hint="eastAsia" w:ascii="宋体" w:hAnsi="宋体"/>
          <w:lang w:val="zh-CN"/>
        </w:rPr>
        <w:t>，采取下列措施抑制周围光照对电控系统的干扰：</w:t>
      </w:r>
    </w:p>
    <w:p w14:paraId="6012CFEF">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选用不易受可见光影响且检测精度高的光电检测器件</w:t>
      </w:r>
      <w:r>
        <w:rPr>
          <w:rFonts w:hint="eastAsia" w:asciiTheme="minorEastAsia" w:hAnsiTheme="minorEastAsia" w:cstheme="minorEastAsia"/>
          <w:szCs w:val="24"/>
          <w:lang w:val="zh-CN"/>
        </w:rPr>
        <w:t>。</w:t>
      </w:r>
    </w:p>
    <w:p w14:paraId="4CBFFC02">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光电检测器件尽量统一朝向并背光安装</w:t>
      </w:r>
      <w:r>
        <w:rPr>
          <w:rFonts w:hint="eastAsia" w:asciiTheme="minorEastAsia" w:hAnsiTheme="minorEastAsia" w:cstheme="minorEastAsia"/>
          <w:szCs w:val="24"/>
          <w:lang w:val="zh-CN"/>
        </w:rPr>
        <w:t>。</w:t>
      </w:r>
    </w:p>
    <w:p w14:paraId="7C33C00D">
      <w:pPr>
        <w:numPr>
          <w:ilvl w:val="0"/>
          <w:numId w:val="6"/>
        </w:numPr>
        <w:ind w:firstLine="0" w:firstLineChars="0"/>
      </w:pPr>
      <w:r>
        <w:rPr>
          <w:rFonts w:asciiTheme="minorEastAsia" w:hAnsiTheme="minorEastAsia" w:cstheme="minorEastAsia"/>
          <w:szCs w:val="24"/>
          <w:lang w:val="zh-CN"/>
        </w:rPr>
        <w:t>特殊工况增加遮光装置或换用对射式</w:t>
      </w:r>
      <w:r>
        <w:t>光电检测器件</w:t>
      </w:r>
      <w:r>
        <w:rPr>
          <w:rFonts w:hint="eastAsia"/>
        </w:rPr>
        <w:t>。</w:t>
      </w:r>
    </w:p>
    <w:p w14:paraId="685B9F11">
      <w:pPr>
        <w:pStyle w:val="4"/>
        <w:rPr>
          <w:rFonts w:hint="eastAsia"/>
          <w:lang w:val="en-US"/>
        </w:rPr>
      </w:pPr>
      <w:bookmarkStart w:id="234" w:name="_Toc22135"/>
      <w:bookmarkStart w:id="235" w:name="_Toc186452634"/>
      <w:bookmarkStart w:id="236" w:name="_Toc186389188"/>
      <w:bookmarkStart w:id="237" w:name="_Toc13756"/>
      <w:r>
        <w:rPr>
          <w:rFonts w:hint="eastAsia"/>
          <w:lang w:val="en-US"/>
        </w:rPr>
        <w:t>抗电磁干扰</w:t>
      </w:r>
      <w:bookmarkEnd w:id="234"/>
      <w:bookmarkEnd w:id="235"/>
      <w:bookmarkEnd w:id="236"/>
      <w:bookmarkEnd w:id="237"/>
    </w:p>
    <w:p w14:paraId="1DF24231">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桥架设计时动力电缆和通迅电缆分开敷设，使通迅信号受到的干扰最低。</w:t>
      </w:r>
    </w:p>
    <w:p w14:paraId="71E224AB">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配电采用三相五线制，零线和地线严格分开，电气及机械设备接地完好，控制柜采用等电位连接</w:t>
      </w:r>
    </w:p>
    <w:p w14:paraId="0BA5B048">
      <w:pPr>
        <w:numPr>
          <w:ilvl w:val="0"/>
          <w:numId w:val="6"/>
        </w:numPr>
        <w:ind w:firstLine="0" w:firstLineChars="0"/>
        <w:rPr>
          <w:rFonts w:hint="eastAsia" w:asciiTheme="minorEastAsia" w:hAnsiTheme="minorEastAsia" w:cstheme="minorEastAsia"/>
          <w:szCs w:val="24"/>
          <w:lang w:val="zh-CN"/>
        </w:rPr>
      </w:pPr>
      <w:r>
        <w:rPr>
          <w:rFonts w:asciiTheme="minorEastAsia" w:hAnsiTheme="minorEastAsia" w:cstheme="minorEastAsia"/>
          <w:szCs w:val="24"/>
          <w:lang w:val="zh-CN"/>
        </w:rPr>
        <w:t>对PLC、网络通讯部件本身按规定的接线标准和接地条件进行接地，确保可靠接地。</w:t>
      </w:r>
    </w:p>
    <w:p w14:paraId="6E686CE1">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变频器至电机的输出电缆采用屏蔽电缆。</w:t>
      </w:r>
    </w:p>
    <w:p w14:paraId="3725F2D1">
      <w:pPr>
        <w:pStyle w:val="4"/>
        <w:rPr>
          <w:rFonts w:hint="eastAsia"/>
          <w:lang w:val="en-US"/>
        </w:rPr>
      </w:pPr>
      <w:bookmarkStart w:id="238" w:name="_Toc12135"/>
      <w:bookmarkStart w:id="239" w:name="_Toc186389189"/>
      <w:bookmarkStart w:id="240" w:name="_Toc186452635"/>
      <w:bookmarkStart w:id="241" w:name="_Toc8356"/>
      <w:r>
        <w:rPr>
          <w:rFonts w:hint="eastAsia"/>
          <w:lang w:val="en-US"/>
        </w:rPr>
        <w:t>抗误信号干扰</w:t>
      </w:r>
      <w:bookmarkEnd w:id="238"/>
      <w:bookmarkEnd w:id="239"/>
      <w:bookmarkEnd w:id="240"/>
      <w:bookmarkEnd w:id="241"/>
    </w:p>
    <w:p w14:paraId="45E1182A">
      <w:pPr>
        <w:ind w:firstLine="480"/>
        <w:rPr>
          <w:rFonts w:hint="eastAsia" w:asciiTheme="minorEastAsia" w:hAnsiTheme="minorEastAsia" w:cstheme="minorEastAsia"/>
          <w:szCs w:val="24"/>
          <w:lang w:val="zh-CN"/>
        </w:rPr>
      </w:pPr>
      <w:r>
        <w:rPr>
          <w:rFonts w:hint="eastAsia" w:asciiTheme="minorEastAsia" w:hAnsiTheme="minorEastAsia" w:cstheme="minorEastAsia"/>
          <w:szCs w:val="24"/>
          <w:lang w:val="zh-CN"/>
        </w:rPr>
        <w:t>控制程序对关键信号进行</w:t>
      </w:r>
      <w:r>
        <w:rPr>
          <w:rFonts w:asciiTheme="minorEastAsia" w:hAnsiTheme="minorEastAsia" w:cstheme="minorEastAsia"/>
          <w:szCs w:val="24"/>
          <w:lang w:val="zh-CN"/>
        </w:rPr>
        <w:t>滤波处理</w:t>
      </w:r>
      <w:r>
        <w:rPr>
          <w:rFonts w:hint="eastAsia" w:asciiTheme="minorEastAsia" w:hAnsiTheme="minorEastAsia" w:cstheme="minorEastAsia"/>
          <w:szCs w:val="24"/>
          <w:lang w:val="zh-CN"/>
        </w:rPr>
        <w:t>，根据信号产生的时机、信号存在的时间长短判断信号的合理性，滤除不合理信号的干扰，保证系统正常运行。</w:t>
      </w:r>
    </w:p>
    <w:p w14:paraId="6768CDBC">
      <w:pPr>
        <w:pStyle w:val="3"/>
      </w:pPr>
      <w:bookmarkStart w:id="242" w:name="_Toc169560658"/>
      <w:bookmarkStart w:id="243" w:name="_Toc186389190"/>
      <w:bookmarkStart w:id="244" w:name="_Toc267573116"/>
      <w:bookmarkStart w:id="245" w:name="_Toc25135"/>
      <w:bookmarkStart w:id="246" w:name="_Toc21489"/>
      <w:bookmarkStart w:id="247" w:name="_Toc457505959"/>
      <w:bookmarkStart w:id="248" w:name="_Toc186452636"/>
      <w:r>
        <w:t>控制接口功能</w:t>
      </w:r>
      <w:bookmarkEnd w:id="242"/>
      <w:bookmarkEnd w:id="243"/>
      <w:bookmarkEnd w:id="244"/>
      <w:bookmarkEnd w:id="245"/>
      <w:bookmarkEnd w:id="246"/>
      <w:bookmarkEnd w:id="247"/>
      <w:bookmarkEnd w:id="248"/>
    </w:p>
    <w:p w14:paraId="3AA99444">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系统提供以太网、PROFINET等</w:t>
      </w:r>
      <w:r>
        <w:rPr>
          <w:rFonts w:hint="eastAsia" w:ascii="Times New Roman" w:hAnsi="Times New Roman" w:cs="Times New Roman"/>
        </w:rPr>
        <w:t>通讯</w:t>
      </w:r>
      <w:r>
        <w:rPr>
          <w:rFonts w:hint="eastAsia" w:asciiTheme="minorEastAsia" w:hAnsiTheme="minorEastAsia" w:cstheme="minorEastAsia"/>
          <w:color w:val="000000"/>
          <w:kern w:val="0"/>
          <w:szCs w:val="24"/>
        </w:rPr>
        <w:t>接口、通讯协议，能支持与常用自控设备的通讯需求，对于特殊的设备，可提供专用的接口，满足使用需求。</w:t>
      </w:r>
    </w:p>
    <w:p w14:paraId="16A9CEEB">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提供与上位计算机系统通讯的OPC连接。</w:t>
      </w:r>
    </w:p>
    <w:p w14:paraId="0B73DB86">
      <w:pPr>
        <w:numPr>
          <w:ilvl w:val="0"/>
          <w:numId w:val="6"/>
        </w:numPr>
        <w:ind w:firstLine="0" w:firstLineChars="0"/>
        <w:rPr>
          <w:rFonts w:hint="eastAsia" w:asciiTheme="minorEastAsia" w:hAnsiTheme="minorEastAsia" w:cstheme="minorEastAsia"/>
          <w:szCs w:val="24"/>
          <w:lang w:val="zh-CN"/>
        </w:rPr>
      </w:pPr>
      <w:r>
        <w:rPr>
          <w:rFonts w:hint="eastAsia" w:asciiTheme="minorEastAsia" w:hAnsiTheme="minorEastAsia" w:cstheme="minorEastAsia"/>
          <w:szCs w:val="24"/>
          <w:lang w:val="zh-CN"/>
        </w:rPr>
        <w:t>提供与堆垛机的</w:t>
      </w:r>
      <w:r>
        <w:rPr>
          <w:rFonts w:hint="eastAsia" w:asciiTheme="minorEastAsia" w:hAnsiTheme="minorEastAsia" w:cstheme="minorEastAsia"/>
          <w:szCs w:val="24"/>
        </w:rPr>
        <w:t>以太网或</w:t>
      </w:r>
      <w:r>
        <w:rPr>
          <w:rFonts w:hint="eastAsia" w:asciiTheme="minorEastAsia" w:hAnsiTheme="minorEastAsia" w:cstheme="minorEastAsia"/>
          <w:szCs w:val="24"/>
          <w:lang w:val="zh-CN"/>
        </w:rPr>
        <w:t>硬件I/O联锁控制接口。</w:t>
      </w:r>
    </w:p>
    <w:p w14:paraId="76B96876">
      <w:pPr>
        <w:numPr>
          <w:ilvl w:val="0"/>
          <w:numId w:val="6"/>
        </w:numPr>
        <w:ind w:firstLine="0" w:firstLineChars="0"/>
        <w:rPr>
          <w:rFonts w:hint="eastAsia" w:asciiTheme="minorEastAsia" w:hAnsiTheme="minorEastAsia" w:cstheme="minorEastAsia"/>
          <w:szCs w:val="24"/>
        </w:rPr>
      </w:pPr>
      <w:r>
        <w:rPr>
          <w:rFonts w:hint="eastAsia" w:asciiTheme="minorEastAsia" w:hAnsiTheme="minorEastAsia" w:cstheme="minorEastAsia"/>
          <w:szCs w:val="24"/>
        </w:rPr>
        <w:t>提供与第三方设备通信的以太网或硬件I/O接口。</w:t>
      </w:r>
    </w:p>
    <w:p w14:paraId="41E96D54">
      <w:pPr>
        <w:pStyle w:val="3"/>
      </w:pPr>
      <w:bookmarkStart w:id="249" w:name="_Toc169560659"/>
      <w:bookmarkStart w:id="250" w:name="_Toc457505963"/>
      <w:bookmarkStart w:id="251" w:name="_Toc8956"/>
      <w:bookmarkStart w:id="252" w:name="_Toc2028"/>
      <w:bookmarkStart w:id="253" w:name="_Toc186389191"/>
      <w:bookmarkStart w:id="254" w:name="_Toc267573128"/>
      <w:bookmarkStart w:id="255" w:name="_Toc186452637"/>
      <w:r>
        <w:rPr>
          <w:rFonts w:hint="eastAsia"/>
        </w:rPr>
        <w:t>供电需求</w:t>
      </w:r>
      <w:bookmarkEnd w:id="249"/>
      <w:bookmarkEnd w:id="250"/>
      <w:bookmarkEnd w:id="251"/>
      <w:bookmarkEnd w:id="252"/>
      <w:bookmarkEnd w:id="253"/>
      <w:bookmarkEnd w:id="254"/>
      <w:bookmarkEnd w:id="255"/>
      <w:bookmarkStart w:id="256" w:name="OLE_LINK1"/>
    </w:p>
    <w:bookmarkEnd w:id="256"/>
    <w:p w14:paraId="33141019">
      <w:pPr>
        <w:pStyle w:val="4"/>
        <w:rPr>
          <w:rFonts w:hint="eastAsia"/>
          <w:lang w:val="en-US"/>
        </w:rPr>
      </w:pPr>
      <w:bookmarkStart w:id="257" w:name="_Toc186452638"/>
      <w:bookmarkStart w:id="258" w:name="_Toc267573129"/>
      <w:bookmarkStart w:id="259" w:name="_Toc17443"/>
      <w:bookmarkStart w:id="260" w:name="_Toc457505964"/>
      <w:bookmarkStart w:id="261" w:name="_Toc24503"/>
      <w:bookmarkStart w:id="262" w:name="_Toc186389192"/>
      <w:r>
        <w:rPr>
          <w:rFonts w:hint="eastAsia"/>
          <w:lang w:val="en-US"/>
        </w:rPr>
        <w:t>供电要求</w:t>
      </w:r>
      <w:bookmarkEnd w:id="257"/>
      <w:bookmarkEnd w:id="258"/>
      <w:bookmarkEnd w:id="259"/>
      <w:bookmarkEnd w:id="260"/>
      <w:bookmarkEnd w:id="261"/>
      <w:bookmarkEnd w:id="262"/>
    </w:p>
    <w:p w14:paraId="23BA6E18">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 xml:space="preserve">动力电源：TN-S  </w:t>
      </w:r>
      <w:r>
        <w:rPr>
          <w:rFonts w:hint="eastAsia" w:ascii="Times New Roman" w:hAnsi="Times New Roman" w:cs="Times New Roman"/>
        </w:rPr>
        <w:t>380VAC</w:t>
      </w:r>
      <w:r>
        <w:rPr>
          <w:rFonts w:hint="eastAsia" w:asciiTheme="minorEastAsia" w:hAnsiTheme="minorEastAsia" w:cstheme="minorEastAsia"/>
          <w:color w:val="000000"/>
          <w:kern w:val="0"/>
          <w:szCs w:val="24"/>
        </w:rPr>
        <w:t>±38VAC，50HZ，三相五线制；地线和零线要严格分开，车间接地电阻值≤4Ω，中控室接地电阻值≤1Ω。</w:t>
      </w:r>
    </w:p>
    <w:p w14:paraId="421E4E7C">
      <w:pPr>
        <w:pStyle w:val="4"/>
        <w:rPr>
          <w:rFonts w:hint="eastAsia"/>
          <w:lang w:val="en-US"/>
        </w:rPr>
      </w:pPr>
      <w:bookmarkStart w:id="263" w:name="_Toc186452639"/>
      <w:bookmarkStart w:id="264" w:name="_Toc4136"/>
      <w:bookmarkStart w:id="265" w:name="_Toc15843"/>
      <w:bookmarkStart w:id="266" w:name="_Toc186389193"/>
      <w:bookmarkStart w:id="267" w:name="_Toc457505965"/>
      <w:r>
        <w:rPr>
          <w:rFonts w:hint="eastAsia"/>
          <w:lang w:val="en-US"/>
        </w:rPr>
        <w:t>供电界面划分</w:t>
      </w:r>
      <w:bookmarkEnd w:id="263"/>
      <w:bookmarkEnd w:id="264"/>
      <w:bookmarkEnd w:id="265"/>
      <w:bookmarkEnd w:id="266"/>
      <w:bookmarkEnd w:id="267"/>
    </w:p>
    <w:p w14:paraId="1FB5B4A1">
      <w:pPr>
        <w:ind w:firstLine="480"/>
        <w:rPr>
          <w:rFonts w:hint="eastAsia" w:asciiTheme="minorEastAsia" w:hAnsiTheme="minorEastAsia" w:cstheme="minorEastAsia"/>
          <w:color w:val="000000"/>
          <w:kern w:val="0"/>
          <w:szCs w:val="24"/>
        </w:rPr>
      </w:pPr>
      <w:r>
        <w:rPr>
          <w:rFonts w:hint="eastAsia"/>
        </w:rPr>
        <w:t>甲方负责</w:t>
      </w:r>
      <w:r>
        <w:rPr>
          <w:rFonts w:hint="eastAsia" w:ascii="Times New Roman" w:hAnsi="Times New Roman" w:cs="Times New Roman"/>
        </w:rPr>
        <w:t>提供</w:t>
      </w:r>
      <w:r>
        <w:rPr>
          <w:rFonts w:hint="eastAsia"/>
        </w:rPr>
        <w:t>具备保护空开的取电点，</w:t>
      </w:r>
      <w:r>
        <w:rPr>
          <w:rFonts w:hint="eastAsia" w:asciiTheme="minorEastAsia" w:hAnsiTheme="minorEastAsia" w:cstheme="minorEastAsia"/>
          <w:color w:val="000000"/>
          <w:kern w:val="0"/>
          <w:szCs w:val="24"/>
        </w:rPr>
        <w:t>乙方</w:t>
      </w:r>
      <w:r>
        <w:rPr>
          <w:rFonts w:hint="eastAsia"/>
        </w:rPr>
        <w:t>负责从该取电点取电</w:t>
      </w:r>
      <w:r>
        <w:rPr>
          <w:rFonts w:hint="eastAsia" w:ascii="Times New Roman"/>
        </w:rPr>
        <w:t>，</w:t>
      </w:r>
      <w:r>
        <w:rPr>
          <w:rFonts w:hint="eastAsia" w:asciiTheme="minorEastAsia" w:hAnsiTheme="minorEastAsia" w:cstheme="minorEastAsia"/>
          <w:color w:val="000000"/>
          <w:kern w:val="0"/>
          <w:szCs w:val="24"/>
        </w:rPr>
        <w:t>并引至主控柜主空开上端，主控柜以下至堆垛机、输送设备的电缆及桥架由乙方提供并敷设。中控室由用户负责配电，单相220VAC。中控室配电进线电源及电缆桥架由</w:t>
      </w:r>
      <w:r>
        <w:rPr>
          <w:rFonts w:hint="eastAsia" w:ascii="Times New Roman" w:hAnsi="Times New Roman" w:cs="Times New Roman"/>
        </w:rPr>
        <w:t>用户</w:t>
      </w:r>
      <w:r>
        <w:rPr>
          <w:rFonts w:hint="eastAsia" w:asciiTheme="minorEastAsia" w:hAnsiTheme="minorEastAsia" w:cstheme="minorEastAsia"/>
          <w:color w:val="000000"/>
          <w:kern w:val="0"/>
          <w:szCs w:val="24"/>
        </w:rPr>
        <w:t>提供并敷设。</w:t>
      </w:r>
    </w:p>
    <w:p w14:paraId="18DF4634">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具体主控柜数量、供电点数量、供电容量等配电参数经详细设计后另行提供。</w:t>
      </w:r>
    </w:p>
    <w:p w14:paraId="4894F7D5">
      <w:pPr>
        <w:pStyle w:val="3"/>
      </w:pPr>
      <w:bookmarkStart w:id="268" w:name="_Toc186452640"/>
      <w:bookmarkStart w:id="269" w:name="_Toc28793"/>
      <w:bookmarkStart w:id="270" w:name="_Toc169560660"/>
      <w:bookmarkStart w:id="271" w:name="_Toc20305"/>
      <w:bookmarkStart w:id="272" w:name="_Toc186389194"/>
      <w:r>
        <w:rPr>
          <w:rFonts w:hint="eastAsia"/>
        </w:rPr>
        <w:t>电控系统器件选型</w:t>
      </w:r>
      <w:bookmarkEnd w:id="268"/>
      <w:bookmarkEnd w:id="269"/>
      <w:bookmarkEnd w:id="270"/>
      <w:bookmarkEnd w:id="271"/>
      <w:bookmarkEnd w:id="272"/>
    </w:p>
    <w:p w14:paraId="15F47009">
      <w:pPr>
        <w:ind w:firstLine="480"/>
        <w:rPr>
          <w:rFonts w:hint="eastAsia" w:asciiTheme="minorEastAsia" w:hAnsiTheme="minorEastAsia" w:cstheme="minorEastAsia"/>
          <w:color w:val="000000"/>
          <w:kern w:val="0"/>
          <w:szCs w:val="24"/>
        </w:rPr>
      </w:pPr>
      <w:r>
        <w:rPr>
          <w:rFonts w:hint="eastAsia" w:asciiTheme="minorEastAsia" w:hAnsiTheme="minorEastAsia" w:cstheme="minorEastAsia"/>
          <w:color w:val="000000"/>
          <w:kern w:val="0"/>
          <w:szCs w:val="24"/>
        </w:rPr>
        <w:t>本方案器件选型严格遵循招标要求，优先采用招标方推荐的产品，对于招标方选型要求未提及的元器件，本方案本着“先进、可靠、成熟、易用”的标准进行甄选，为方案设计提供保障。本电控系统方案主要器件选型如下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2553"/>
        <w:gridCol w:w="1459"/>
        <w:gridCol w:w="1878"/>
        <w:gridCol w:w="1539"/>
      </w:tblGrid>
      <w:tr w14:paraId="5C76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630" w:type="pct"/>
            <w:noWrap/>
            <w:vAlign w:val="center"/>
          </w:tcPr>
          <w:p w14:paraId="5D7AD1F3">
            <w:pPr>
              <w:spacing w:line="240" w:lineRule="auto"/>
              <w:ind w:firstLine="0" w:firstLineChars="0"/>
              <w:jc w:val="center"/>
              <w:rPr>
                <w:rFonts w:hint="eastAsia" w:ascii="宋体" w:hAnsi="宋体"/>
                <w:b/>
                <w:bCs/>
                <w:szCs w:val="24"/>
              </w:rPr>
            </w:pPr>
            <w:r>
              <w:rPr>
                <w:rFonts w:hint="eastAsia" w:ascii="宋体" w:hAnsi="宋体"/>
                <w:b/>
                <w:bCs/>
                <w:szCs w:val="24"/>
              </w:rPr>
              <w:t>序号</w:t>
            </w:r>
          </w:p>
        </w:tc>
        <w:tc>
          <w:tcPr>
            <w:tcW w:w="1514" w:type="pct"/>
            <w:vAlign w:val="center"/>
          </w:tcPr>
          <w:p w14:paraId="4BD53875">
            <w:pPr>
              <w:spacing w:line="240" w:lineRule="auto"/>
              <w:ind w:firstLine="0" w:firstLineChars="0"/>
              <w:jc w:val="center"/>
              <w:rPr>
                <w:rFonts w:hint="eastAsia" w:ascii="宋体" w:hAnsi="宋体"/>
                <w:b/>
                <w:bCs/>
                <w:szCs w:val="24"/>
              </w:rPr>
            </w:pPr>
            <w:r>
              <w:rPr>
                <w:rFonts w:hint="eastAsia" w:ascii="宋体" w:hAnsi="宋体"/>
                <w:b/>
                <w:bCs/>
                <w:szCs w:val="24"/>
              </w:rPr>
              <w:t>器件</w:t>
            </w:r>
          </w:p>
        </w:tc>
        <w:tc>
          <w:tcPr>
            <w:tcW w:w="851" w:type="pct"/>
            <w:noWrap/>
            <w:vAlign w:val="center"/>
          </w:tcPr>
          <w:p w14:paraId="4DE3D0E5">
            <w:pPr>
              <w:spacing w:line="240" w:lineRule="auto"/>
              <w:ind w:firstLine="0" w:firstLineChars="0"/>
              <w:jc w:val="center"/>
              <w:rPr>
                <w:rFonts w:hint="eastAsia" w:ascii="宋体" w:hAnsi="宋体"/>
                <w:b/>
                <w:bCs/>
                <w:szCs w:val="24"/>
              </w:rPr>
            </w:pPr>
            <w:r>
              <w:rPr>
                <w:rFonts w:hint="eastAsia" w:ascii="宋体" w:hAnsi="宋体"/>
                <w:b/>
                <w:bCs/>
                <w:szCs w:val="24"/>
              </w:rPr>
              <w:t>型号</w:t>
            </w:r>
            <w:r>
              <w:rPr>
                <w:rFonts w:ascii="宋体" w:hAnsi="宋体"/>
                <w:b/>
                <w:bCs/>
                <w:szCs w:val="24"/>
              </w:rPr>
              <w:t>/</w:t>
            </w:r>
            <w:r>
              <w:rPr>
                <w:rFonts w:hint="eastAsia" w:ascii="宋体" w:hAnsi="宋体"/>
                <w:b/>
                <w:bCs/>
                <w:szCs w:val="24"/>
              </w:rPr>
              <w:t>系列</w:t>
            </w:r>
          </w:p>
        </w:tc>
        <w:tc>
          <w:tcPr>
            <w:tcW w:w="1105" w:type="pct"/>
            <w:noWrap/>
            <w:vAlign w:val="center"/>
          </w:tcPr>
          <w:p w14:paraId="37D1CCB7">
            <w:pPr>
              <w:spacing w:line="240" w:lineRule="auto"/>
              <w:ind w:firstLine="0" w:firstLineChars="0"/>
              <w:jc w:val="center"/>
              <w:rPr>
                <w:rFonts w:hint="eastAsia" w:ascii="宋体" w:hAnsi="宋体"/>
                <w:b/>
                <w:bCs/>
                <w:szCs w:val="24"/>
              </w:rPr>
            </w:pPr>
            <w:r>
              <w:rPr>
                <w:rFonts w:hint="eastAsia" w:ascii="宋体" w:hAnsi="宋体"/>
                <w:b/>
                <w:bCs/>
                <w:szCs w:val="24"/>
              </w:rPr>
              <w:t>厂家</w:t>
            </w:r>
          </w:p>
        </w:tc>
        <w:tc>
          <w:tcPr>
            <w:tcW w:w="899" w:type="pct"/>
            <w:noWrap/>
            <w:vAlign w:val="center"/>
          </w:tcPr>
          <w:p w14:paraId="06A75510">
            <w:pPr>
              <w:spacing w:line="240" w:lineRule="auto"/>
              <w:ind w:firstLine="0" w:firstLineChars="0"/>
              <w:jc w:val="center"/>
              <w:rPr>
                <w:rFonts w:hint="eastAsia" w:ascii="宋体" w:hAnsi="宋体"/>
                <w:b/>
                <w:bCs/>
                <w:szCs w:val="24"/>
              </w:rPr>
            </w:pPr>
            <w:r>
              <w:rPr>
                <w:rFonts w:hint="eastAsia" w:ascii="宋体" w:hAnsi="宋体"/>
                <w:b/>
                <w:bCs/>
                <w:szCs w:val="24"/>
              </w:rPr>
              <w:t>备注</w:t>
            </w:r>
          </w:p>
        </w:tc>
      </w:tr>
      <w:tr w14:paraId="722E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5956129C">
            <w:pPr>
              <w:spacing w:line="240" w:lineRule="auto"/>
              <w:ind w:firstLine="0" w:firstLineChars="0"/>
              <w:jc w:val="center"/>
              <w:rPr>
                <w:rFonts w:hint="eastAsia" w:ascii="宋体" w:hAnsi="宋体"/>
                <w:szCs w:val="24"/>
              </w:rPr>
            </w:pPr>
            <w:r>
              <w:rPr>
                <w:rFonts w:ascii="宋体" w:hAnsi="宋体"/>
                <w:szCs w:val="24"/>
              </w:rPr>
              <w:t>1</w:t>
            </w:r>
          </w:p>
        </w:tc>
        <w:tc>
          <w:tcPr>
            <w:tcW w:w="1514" w:type="pct"/>
            <w:vAlign w:val="center"/>
          </w:tcPr>
          <w:p w14:paraId="5614C350">
            <w:pPr>
              <w:spacing w:line="240" w:lineRule="auto"/>
              <w:ind w:firstLine="0" w:firstLineChars="0"/>
              <w:jc w:val="center"/>
              <w:rPr>
                <w:rFonts w:hint="eastAsia" w:ascii="宋体" w:hAnsi="宋体"/>
                <w:szCs w:val="24"/>
              </w:rPr>
            </w:pPr>
            <w:r>
              <w:rPr>
                <w:rFonts w:hint="eastAsia" w:ascii="宋体" w:hAnsi="宋体"/>
                <w:szCs w:val="24"/>
              </w:rPr>
              <w:t>主控制器（</w:t>
            </w:r>
            <w:r>
              <w:rPr>
                <w:rFonts w:ascii="宋体" w:hAnsi="宋体"/>
                <w:szCs w:val="24"/>
              </w:rPr>
              <w:t>PLC</w:t>
            </w:r>
            <w:r>
              <w:rPr>
                <w:rFonts w:hint="eastAsia" w:ascii="宋体" w:hAnsi="宋体"/>
                <w:szCs w:val="24"/>
              </w:rPr>
              <w:t>）</w:t>
            </w:r>
          </w:p>
        </w:tc>
        <w:tc>
          <w:tcPr>
            <w:tcW w:w="851" w:type="pct"/>
            <w:noWrap/>
            <w:vAlign w:val="center"/>
          </w:tcPr>
          <w:p w14:paraId="7595A954">
            <w:pPr>
              <w:spacing w:line="240" w:lineRule="auto"/>
              <w:ind w:firstLine="0" w:firstLineChars="0"/>
              <w:jc w:val="center"/>
              <w:rPr>
                <w:rFonts w:hint="eastAsia" w:ascii="宋体" w:hAnsi="宋体"/>
                <w:szCs w:val="24"/>
              </w:rPr>
            </w:pPr>
            <w:r>
              <w:rPr>
                <w:rFonts w:ascii="宋体" w:hAnsi="宋体"/>
                <w:szCs w:val="24"/>
              </w:rPr>
              <w:t xml:space="preserve">S7 </w:t>
            </w:r>
            <w:r>
              <w:rPr>
                <w:rFonts w:hint="eastAsia" w:ascii="宋体" w:hAnsi="宋体"/>
                <w:szCs w:val="24"/>
              </w:rPr>
              <w:t>1500系列</w:t>
            </w:r>
          </w:p>
        </w:tc>
        <w:tc>
          <w:tcPr>
            <w:tcW w:w="1105" w:type="pct"/>
            <w:noWrap/>
            <w:vAlign w:val="center"/>
          </w:tcPr>
          <w:p w14:paraId="098DF07B">
            <w:pPr>
              <w:spacing w:line="240" w:lineRule="auto"/>
              <w:ind w:firstLine="0" w:firstLineChars="0"/>
              <w:jc w:val="center"/>
              <w:rPr>
                <w:rFonts w:hint="eastAsia" w:ascii="宋体" w:hAnsi="宋体"/>
                <w:szCs w:val="24"/>
              </w:rPr>
            </w:pPr>
            <w:r>
              <w:rPr>
                <w:rFonts w:ascii="宋体" w:hAnsi="宋体"/>
                <w:szCs w:val="24"/>
              </w:rPr>
              <w:t>SIEMENS</w:t>
            </w:r>
          </w:p>
        </w:tc>
        <w:tc>
          <w:tcPr>
            <w:tcW w:w="899" w:type="pct"/>
            <w:noWrap/>
            <w:vAlign w:val="center"/>
          </w:tcPr>
          <w:p w14:paraId="254F66FE">
            <w:pPr>
              <w:spacing w:line="240" w:lineRule="auto"/>
              <w:ind w:firstLine="0" w:firstLineChars="0"/>
              <w:jc w:val="center"/>
              <w:rPr>
                <w:rFonts w:hint="eastAsia" w:ascii="宋体" w:hAnsi="宋体"/>
                <w:szCs w:val="24"/>
              </w:rPr>
            </w:pPr>
          </w:p>
        </w:tc>
      </w:tr>
      <w:tr w14:paraId="12F3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0AD251AC">
            <w:pPr>
              <w:spacing w:line="240" w:lineRule="auto"/>
              <w:ind w:firstLine="0" w:firstLineChars="0"/>
              <w:jc w:val="center"/>
              <w:rPr>
                <w:rFonts w:hint="eastAsia" w:ascii="宋体" w:hAnsi="宋体"/>
                <w:szCs w:val="24"/>
              </w:rPr>
            </w:pPr>
            <w:r>
              <w:rPr>
                <w:rFonts w:ascii="宋体" w:hAnsi="宋体"/>
                <w:szCs w:val="24"/>
              </w:rPr>
              <w:t>2</w:t>
            </w:r>
          </w:p>
        </w:tc>
        <w:tc>
          <w:tcPr>
            <w:tcW w:w="1514" w:type="pct"/>
            <w:vAlign w:val="center"/>
          </w:tcPr>
          <w:p w14:paraId="4193F6D8">
            <w:pPr>
              <w:spacing w:line="240" w:lineRule="auto"/>
              <w:ind w:firstLine="0" w:firstLineChars="0"/>
              <w:jc w:val="center"/>
              <w:rPr>
                <w:rFonts w:hint="eastAsia" w:ascii="宋体" w:hAnsi="宋体"/>
                <w:szCs w:val="24"/>
              </w:rPr>
            </w:pPr>
            <w:r>
              <w:rPr>
                <w:rFonts w:ascii="宋体" w:hAnsi="宋体"/>
                <w:szCs w:val="24"/>
              </w:rPr>
              <w:t>I/O</w:t>
            </w:r>
            <w:r>
              <w:rPr>
                <w:rFonts w:hint="eastAsia" w:ascii="宋体" w:hAnsi="宋体"/>
                <w:szCs w:val="24"/>
              </w:rPr>
              <w:t>模块</w:t>
            </w:r>
          </w:p>
        </w:tc>
        <w:tc>
          <w:tcPr>
            <w:tcW w:w="851" w:type="pct"/>
            <w:noWrap/>
            <w:vAlign w:val="center"/>
          </w:tcPr>
          <w:p w14:paraId="6471A19F">
            <w:pPr>
              <w:spacing w:line="240" w:lineRule="auto"/>
              <w:ind w:firstLine="0" w:firstLineChars="0"/>
              <w:jc w:val="center"/>
              <w:rPr>
                <w:rFonts w:hint="eastAsia" w:ascii="宋体" w:hAnsi="宋体"/>
                <w:szCs w:val="24"/>
              </w:rPr>
            </w:pPr>
          </w:p>
        </w:tc>
        <w:tc>
          <w:tcPr>
            <w:tcW w:w="1105" w:type="pct"/>
            <w:noWrap/>
            <w:vAlign w:val="center"/>
          </w:tcPr>
          <w:p w14:paraId="765232D7">
            <w:pPr>
              <w:spacing w:line="240" w:lineRule="auto"/>
              <w:ind w:firstLine="0" w:firstLineChars="0"/>
              <w:jc w:val="center"/>
              <w:rPr>
                <w:rFonts w:hint="eastAsia" w:ascii="宋体" w:hAnsi="宋体"/>
                <w:szCs w:val="24"/>
              </w:rPr>
            </w:pPr>
            <w:r>
              <w:rPr>
                <w:rFonts w:ascii="宋体" w:hAnsi="宋体"/>
                <w:szCs w:val="24"/>
              </w:rPr>
              <w:t>SIEMENS</w:t>
            </w:r>
          </w:p>
        </w:tc>
        <w:tc>
          <w:tcPr>
            <w:tcW w:w="899" w:type="pct"/>
            <w:noWrap/>
            <w:vAlign w:val="center"/>
          </w:tcPr>
          <w:p w14:paraId="4A755964">
            <w:pPr>
              <w:spacing w:line="240" w:lineRule="auto"/>
              <w:ind w:firstLine="0" w:firstLineChars="0"/>
              <w:jc w:val="center"/>
              <w:rPr>
                <w:rFonts w:hint="eastAsia" w:ascii="宋体" w:hAnsi="宋体"/>
                <w:szCs w:val="24"/>
              </w:rPr>
            </w:pPr>
          </w:p>
        </w:tc>
      </w:tr>
      <w:tr w14:paraId="191E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16C8D6EA">
            <w:pPr>
              <w:spacing w:line="240" w:lineRule="auto"/>
              <w:ind w:firstLine="0" w:firstLineChars="0"/>
              <w:jc w:val="center"/>
              <w:rPr>
                <w:rFonts w:hint="eastAsia" w:ascii="宋体" w:hAnsi="宋体"/>
                <w:szCs w:val="24"/>
              </w:rPr>
            </w:pPr>
            <w:r>
              <w:rPr>
                <w:rFonts w:ascii="宋体" w:hAnsi="宋体"/>
                <w:szCs w:val="24"/>
              </w:rPr>
              <w:t>3</w:t>
            </w:r>
          </w:p>
        </w:tc>
        <w:tc>
          <w:tcPr>
            <w:tcW w:w="1514" w:type="pct"/>
            <w:vAlign w:val="center"/>
          </w:tcPr>
          <w:p w14:paraId="31E99704">
            <w:pPr>
              <w:spacing w:line="240" w:lineRule="auto"/>
              <w:ind w:firstLine="0" w:firstLineChars="0"/>
              <w:jc w:val="center"/>
              <w:rPr>
                <w:rFonts w:hint="eastAsia" w:ascii="宋体" w:hAnsi="宋体"/>
                <w:szCs w:val="24"/>
              </w:rPr>
            </w:pPr>
            <w:r>
              <w:rPr>
                <w:rFonts w:hint="eastAsia" w:ascii="宋体" w:hAnsi="宋体"/>
                <w:szCs w:val="24"/>
              </w:rPr>
              <w:t>现场操作终端</w:t>
            </w:r>
          </w:p>
        </w:tc>
        <w:tc>
          <w:tcPr>
            <w:tcW w:w="851" w:type="pct"/>
            <w:noWrap/>
            <w:vAlign w:val="center"/>
          </w:tcPr>
          <w:p w14:paraId="69533D48">
            <w:pPr>
              <w:spacing w:line="240" w:lineRule="auto"/>
              <w:ind w:firstLine="0" w:firstLineChars="0"/>
              <w:jc w:val="center"/>
              <w:rPr>
                <w:rFonts w:hint="eastAsia" w:ascii="宋体" w:hAnsi="宋体"/>
                <w:szCs w:val="24"/>
              </w:rPr>
            </w:pPr>
          </w:p>
        </w:tc>
        <w:tc>
          <w:tcPr>
            <w:tcW w:w="1105" w:type="pct"/>
            <w:noWrap/>
            <w:vAlign w:val="center"/>
          </w:tcPr>
          <w:p w14:paraId="3962E247">
            <w:pPr>
              <w:spacing w:line="240" w:lineRule="auto"/>
              <w:ind w:firstLine="0" w:firstLineChars="0"/>
              <w:jc w:val="center"/>
              <w:rPr>
                <w:rFonts w:hint="eastAsia" w:ascii="宋体" w:hAnsi="宋体"/>
                <w:szCs w:val="24"/>
              </w:rPr>
            </w:pPr>
            <w:r>
              <w:rPr>
                <w:rFonts w:ascii="宋体" w:hAnsi="宋体"/>
                <w:szCs w:val="24"/>
              </w:rPr>
              <w:t>SIEMENS</w:t>
            </w:r>
          </w:p>
        </w:tc>
        <w:tc>
          <w:tcPr>
            <w:tcW w:w="899" w:type="pct"/>
            <w:noWrap/>
            <w:vAlign w:val="center"/>
          </w:tcPr>
          <w:p w14:paraId="218F7F95">
            <w:pPr>
              <w:spacing w:line="240" w:lineRule="auto"/>
              <w:ind w:firstLine="0" w:firstLineChars="0"/>
              <w:jc w:val="center"/>
              <w:rPr>
                <w:rFonts w:hint="eastAsia" w:ascii="宋体" w:hAnsi="宋体"/>
                <w:szCs w:val="24"/>
              </w:rPr>
            </w:pPr>
          </w:p>
        </w:tc>
      </w:tr>
      <w:tr w14:paraId="0EDD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38186E2B">
            <w:pPr>
              <w:spacing w:line="240" w:lineRule="auto"/>
              <w:ind w:firstLine="0" w:firstLineChars="0"/>
              <w:jc w:val="center"/>
              <w:rPr>
                <w:rFonts w:hint="eastAsia" w:ascii="宋体" w:hAnsi="宋体"/>
                <w:szCs w:val="24"/>
              </w:rPr>
            </w:pPr>
            <w:r>
              <w:rPr>
                <w:rFonts w:ascii="宋体" w:hAnsi="宋体"/>
                <w:szCs w:val="24"/>
              </w:rPr>
              <w:t>4</w:t>
            </w:r>
          </w:p>
        </w:tc>
        <w:tc>
          <w:tcPr>
            <w:tcW w:w="1514" w:type="pct"/>
            <w:vAlign w:val="center"/>
          </w:tcPr>
          <w:p w14:paraId="1C4730AE">
            <w:pPr>
              <w:spacing w:line="240" w:lineRule="auto"/>
              <w:ind w:firstLine="0" w:firstLineChars="0"/>
              <w:jc w:val="center"/>
              <w:rPr>
                <w:rFonts w:hint="eastAsia" w:ascii="宋体" w:hAnsi="宋体"/>
                <w:szCs w:val="24"/>
              </w:rPr>
            </w:pPr>
            <w:r>
              <w:rPr>
                <w:rFonts w:hint="eastAsia" w:ascii="宋体" w:hAnsi="宋体"/>
                <w:szCs w:val="24"/>
              </w:rPr>
              <w:t>主令开关</w:t>
            </w:r>
          </w:p>
        </w:tc>
        <w:tc>
          <w:tcPr>
            <w:tcW w:w="851" w:type="pct"/>
            <w:noWrap/>
            <w:vAlign w:val="center"/>
          </w:tcPr>
          <w:p w14:paraId="72233A81">
            <w:pPr>
              <w:spacing w:line="240" w:lineRule="auto"/>
              <w:ind w:firstLine="0" w:firstLineChars="0"/>
              <w:jc w:val="center"/>
              <w:rPr>
                <w:rFonts w:hint="eastAsia" w:ascii="宋体" w:hAnsi="宋体"/>
                <w:szCs w:val="24"/>
              </w:rPr>
            </w:pPr>
          </w:p>
        </w:tc>
        <w:tc>
          <w:tcPr>
            <w:tcW w:w="1105" w:type="pct"/>
            <w:noWrap/>
            <w:vAlign w:val="center"/>
          </w:tcPr>
          <w:p w14:paraId="4C886903">
            <w:pPr>
              <w:spacing w:line="240" w:lineRule="auto"/>
              <w:ind w:firstLine="0" w:firstLineChars="0"/>
              <w:jc w:val="center"/>
              <w:rPr>
                <w:rFonts w:hint="eastAsia" w:ascii="宋体" w:hAnsi="宋体"/>
                <w:szCs w:val="24"/>
              </w:rPr>
            </w:pPr>
            <w:r>
              <w:rPr>
                <w:rFonts w:ascii="宋体" w:hAnsi="宋体"/>
                <w:szCs w:val="24"/>
              </w:rPr>
              <w:t>SCHNEIDER</w:t>
            </w:r>
          </w:p>
        </w:tc>
        <w:tc>
          <w:tcPr>
            <w:tcW w:w="899" w:type="pct"/>
            <w:noWrap/>
            <w:vAlign w:val="center"/>
          </w:tcPr>
          <w:p w14:paraId="28318590">
            <w:pPr>
              <w:spacing w:line="240" w:lineRule="auto"/>
              <w:ind w:firstLine="0" w:firstLineChars="0"/>
              <w:jc w:val="center"/>
              <w:rPr>
                <w:rFonts w:hint="eastAsia" w:ascii="宋体" w:hAnsi="宋体"/>
                <w:szCs w:val="24"/>
              </w:rPr>
            </w:pPr>
            <w:r>
              <w:rPr>
                <w:rFonts w:hint="eastAsia" w:ascii="宋体" w:hAnsi="宋体"/>
                <w:szCs w:val="24"/>
              </w:rPr>
              <w:t>电启动</w:t>
            </w:r>
          </w:p>
        </w:tc>
      </w:tr>
      <w:tr w14:paraId="4F31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68661618">
            <w:pPr>
              <w:spacing w:line="240" w:lineRule="auto"/>
              <w:ind w:firstLine="0" w:firstLineChars="0"/>
              <w:jc w:val="center"/>
              <w:rPr>
                <w:rFonts w:hint="eastAsia" w:ascii="宋体" w:hAnsi="宋体"/>
                <w:szCs w:val="24"/>
              </w:rPr>
            </w:pPr>
            <w:r>
              <w:rPr>
                <w:rFonts w:ascii="宋体" w:hAnsi="宋体"/>
                <w:szCs w:val="24"/>
              </w:rPr>
              <w:t>5</w:t>
            </w:r>
          </w:p>
        </w:tc>
        <w:tc>
          <w:tcPr>
            <w:tcW w:w="1514" w:type="pct"/>
            <w:vAlign w:val="center"/>
          </w:tcPr>
          <w:p w14:paraId="2F6A7A60">
            <w:pPr>
              <w:spacing w:line="240" w:lineRule="auto"/>
              <w:ind w:firstLine="0" w:firstLineChars="0"/>
              <w:jc w:val="center"/>
              <w:rPr>
                <w:rFonts w:hint="eastAsia" w:ascii="宋体" w:hAnsi="宋体"/>
                <w:szCs w:val="24"/>
              </w:rPr>
            </w:pPr>
            <w:r>
              <w:rPr>
                <w:rFonts w:hint="eastAsia" w:ascii="宋体" w:hAnsi="宋体"/>
                <w:szCs w:val="24"/>
              </w:rPr>
              <w:t>空气开关</w:t>
            </w:r>
          </w:p>
        </w:tc>
        <w:tc>
          <w:tcPr>
            <w:tcW w:w="851" w:type="pct"/>
            <w:noWrap/>
            <w:vAlign w:val="center"/>
          </w:tcPr>
          <w:p w14:paraId="22E57EAE">
            <w:pPr>
              <w:spacing w:line="240" w:lineRule="auto"/>
              <w:ind w:firstLine="0" w:firstLineChars="0"/>
              <w:jc w:val="center"/>
              <w:rPr>
                <w:rFonts w:hint="eastAsia" w:ascii="宋体" w:hAnsi="宋体"/>
                <w:szCs w:val="24"/>
              </w:rPr>
            </w:pPr>
          </w:p>
        </w:tc>
        <w:tc>
          <w:tcPr>
            <w:tcW w:w="1105" w:type="pct"/>
            <w:noWrap/>
            <w:vAlign w:val="center"/>
          </w:tcPr>
          <w:p w14:paraId="5939AFD4">
            <w:pPr>
              <w:spacing w:line="240" w:lineRule="auto"/>
              <w:ind w:firstLine="0" w:firstLineChars="0"/>
              <w:jc w:val="center"/>
            </w:pPr>
            <w:r>
              <w:rPr>
                <w:rFonts w:ascii="宋体" w:hAnsi="宋体"/>
                <w:szCs w:val="24"/>
              </w:rPr>
              <w:t>SCHNEIDER</w:t>
            </w:r>
          </w:p>
        </w:tc>
        <w:tc>
          <w:tcPr>
            <w:tcW w:w="899" w:type="pct"/>
            <w:noWrap/>
            <w:vAlign w:val="center"/>
          </w:tcPr>
          <w:p w14:paraId="151B30F5">
            <w:pPr>
              <w:spacing w:line="240" w:lineRule="auto"/>
              <w:ind w:firstLine="0" w:firstLineChars="0"/>
              <w:jc w:val="center"/>
              <w:rPr>
                <w:rFonts w:hint="eastAsia" w:ascii="宋体" w:hAnsi="宋体"/>
                <w:szCs w:val="24"/>
              </w:rPr>
            </w:pPr>
          </w:p>
        </w:tc>
      </w:tr>
      <w:tr w14:paraId="7551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4A156A23">
            <w:pPr>
              <w:spacing w:line="240" w:lineRule="auto"/>
              <w:ind w:firstLine="0" w:firstLineChars="0"/>
              <w:jc w:val="center"/>
              <w:rPr>
                <w:rFonts w:hint="eastAsia" w:ascii="宋体" w:hAnsi="宋体"/>
                <w:szCs w:val="24"/>
              </w:rPr>
            </w:pPr>
            <w:r>
              <w:rPr>
                <w:rFonts w:ascii="宋体" w:hAnsi="宋体"/>
                <w:szCs w:val="24"/>
              </w:rPr>
              <w:t>6</w:t>
            </w:r>
          </w:p>
        </w:tc>
        <w:tc>
          <w:tcPr>
            <w:tcW w:w="1514" w:type="pct"/>
            <w:vAlign w:val="center"/>
          </w:tcPr>
          <w:p w14:paraId="32958A72">
            <w:pPr>
              <w:spacing w:line="240" w:lineRule="auto"/>
              <w:ind w:firstLine="0" w:firstLineChars="0"/>
              <w:jc w:val="center"/>
              <w:rPr>
                <w:rFonts w:hint="eastAsia" w:ascii="宋体" w:hAnsi="宋体"/>
                <w:szCs w:val="24"/>
              </w:rPr>
            </w:pPr>
            <w:r>
              <w:rPr>
                <w:rFonts w:hint="eastAsia" w:ascii="宋体" w:hAnsi="宋体"/>
                <w:szCs w:val="24"/>
              </w:rPr>
              <w:t>交流接触器</w:t>
            </w:r>
          </w:p>
        </w:tc>
        <w:tc>
          <w:tcPr>
            <w:tcW w:w="851" w:type="pct"/>
            <w:noWrap/>
            <w:vAlign w:val="center"/>
          </w:tcPr>
          <w:p w14:paraId="2DED0710">
            <w:pPr>
              <w:spacing w:line="240" w:lineRule="auto"/>
              <w:ind w:firstLine="0" w:firstLineChars="0"/>
              <w:jc w:val="center"/>
              <w:rPr>
                <w:rFonts w:hint="eastAsia" w:ascii="宋体" w:hAnsi="宋体"/>
                <w:szCs w:val="24"/>
              </w:rPr>
            </w:pPr>
          </w:p>
        </w:tc>
        <w:tc>
          <w:tcPr>
            <w:tcW w:w="1105" w:type="pct"/>
            <w:noWrap/>
            <w:vAlign w:val="center"/>
          </w:tcPr>
          <w:p w14:paraId="7934CDDF">
            <w:pPr>
              <w:spacing w:line="240" w:lineRule="auto"/>
              <w:ind w:firstLine="0" w:firstLineChars="0"/>
              <w:jc w:val="center"/>
            </w:pPr>
            <w:r>
              <w:rPr>
                <w:rFonts w:ascii="宋体" w:hAnsi="宋体"/>
                <w:szCs w:val="24"/>
              </w:rPr>
              <w:t>SCHNEIDER</w:t>
            </w:r>
          </w:p>
        </w:tc>
        <w:tc>
          <w:tcPr>
            <w:tcW w:w="899" w:type="pct"/>
            <w:noWrap/>
            <w:vAlign w:val="center"/>
          </w:tcPr>
          <w:p w14:paraId="79CAD4C7">
            <w:pPr>
              <w:spacing w:line="240" w:lineRule="auto"/>
              <w:ind w:firstLine="0" w:firstLineChars="0"/>
              <w:jc w:val="center"/>
              <w:rPr>
                <w:rFonts w:hint="eastAsia" w:ascii="宋体" w:hAnsi="宋体"/>
                <w:szCs w:val="24"/>
              </w:rPr>
            </w:pPr>
          </w:p>
        </w:tc>
      </w:tr>
      <w:tr w14:paraId="4200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5C010186">
            <w:pPr>
              <w:spacing w:line="240" w:lineRule="auto"/>
              <w:ind w:firstLine="0" w:firstLineChars="0"/>
              <w:jc w:val="center"/>
              <w:rPr>
                <w:rFonts w:hint="eastAsia" w:ascii="宋体" w:hAnsi="宋体"/>
                <w:szCs w:val="24"/>
              </w:rPr>
            </w:pPr>
            <w:r>
              <w:rPr>
                <w:rFonts w:hint="eastAsia" w:ascii="宋体" w:hAnsi="宋体"/>
                <w:szCs w:val="24"/>
              </w:rPr>
              <w:t>7</w:t>
            </w:r>
          </w:p>
        </w:tc>
        <w:tc>
          <w:tcPr>
            <w:tcW w:w="1514" w:type="pct"/>
            <w:vAlign w:val="center"/>
          </w:tcPr>
          <w:p w14:paraId="2DA468BE">
            <w:pPr>
              <w:spacing w:line="240" w:lineRule="auto"/>
              <w:ind w:firstLine="0" w:firstLineChars="0"/>
              <w:jc w:val="center"/>
              <w:rPr>
                <w:rFonts w:hint="eastAsia" w:ascii="宋体" w:hAnsi="宋体"/>
                <w:szCs w:val="24"/>
              </w:rPr>
            </w:pPr>
            <w:r>
              <w:rPr>
                <w:rFonts w:hint="eastAsia" w:ascii="宋体" w:hAnsi="宋体"/>
                <w:szCs w:val="24"/>
              </w:rPr>
              <w:t>光电开关等检测器件</w:t>
            </w:r>
          </w:p>
        </w:tc>
        <w:tc>
          <w:tcPr>
            <w:tcW w:w="851" w:type="pct"/>
            <w:noWrap/>
            <w:vAlign w:val="center"/>
          </w:tcPr>
          <w:p w14:paraId="17530C8E">
            <w:pPr>
              <w:spacing w:line="240" w:lineRule="auto"/>
              <w:ind w:firstLine="0" w:firstLineChars="0"/>
              <w:jc w:val="center"/>
              <w:rPr>
                <w:rFonts w:hint="eastAsia" w:ascii="宋体" w:hAnsi="宋体"/>
                <w:szCs w:val="24"/>
              </w:rPr>
            </w:pPr>
          </w:p>
        </w:tc>
        <w:tc>
          <w:tcPr>
            <w:tcW w:w="1105" w:type="pct"/>
            <w:noWrap/>
            <w:vAlign w:val="center"/>
          </w:tcPr>
          <w:p w14:paraId="68155AA8">
            <w:pPr>
              <w:spacing w:line="240" w:lineRule="auto"/>
              <w:ind w:firstLine="0" w:firstLineChars="0"/>
              <w:jc w:val="center"/>
              <w:rPr>
                <w:rFonts w:hint="eastAsia" w:ascii="宋体" w:hAnsi="宋体"/>
                <w:szCs w:val="24"/>
              </w:rPr>
            </w:pPr>
            <w:r>
              <w:rPr>
                <w:rFonts w:hint="eastAsia" w:ascii="宋体" w:hAnsi="宋体"/>
                <w:szCs w:val="24"/>
              </w:rPr>
              <w:t>LEUZE</w:t>
            </w:r>
            <w:r>
              <w:rPr>
                <w:rFonts w:ascii="宋体" w:hAnsi="宋体"/>
                <w:szCs w:val="24"/>
              </w:rPr>
              <w:t>/SICK</w:t>
            </w:r>
            <w:r>
              <w:rPr>
                <w:rFonts w:hint="eastAsia" w:ascii="宋体" w:hAnsi="宋体"/>
                <w:szCs w:val="24"/>
              </w:rPr>
              <w:t>/OMRON</w:t>
            </w:r>
          </w:p>
        </w:tc>
        <w:tc>
          <w:tcPr>
            <w:tcW w:w="899" w:type="pct"/>
            <w:noWrap/>
            <w:vAlign w:val="center"/>
          </w:tcPr>
          <w:p w14:paraId="1643CC48">
            <w:pPr>
              <w:spacing w:line="240" w:lineRule="auto"/>
              <w:ind w:firstLine="0" w:firstLineChars="0"/>
              <w:jc w:val="center"/>
              <w:rPr>
                <w:rFonts w:hint="eastAsia" w:ascii="宋体" w:hAnsi="宋体"/>
                <w:szCs w:val="24"/>
              </w:rPr>
            </w:pPr>
          </w:p>
        </w:tc>
      </w:tr>
      <w:tr w14:paraId="2504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pct"/>
            <w:noWrap/>
            <w:vAlign w:val="center"/>
          </w:tcPr>
          <w:p w14:paraId="7F21AE4E">
            <w:pPr>
              <w:spacing w:line="240" w:lineRule="auto"/>
              <w:ind w:firstLine="0" w:firstLineChars="0"/>
              <w:jc w:val="center"/>
              <w:rPr>
                <w:rFonts w:hint="eastAsia" w:ascii="宋体" w:hAnsi="宋体"/>
                <w:szCs w:val="24"/>
              </w:rPr>
            </w:pPr>
            <w:r>
              <w:rPr>
                <w:rFonts w:ascii="宋体" w:hAnsi="宋体"/>
                <w:szCs w:val="24"/>
              </w:rPr>
              <w:t>9</w:t>
            </w:r>
          </w:p>
        </w:tc>
        <w:tc>
          <w:tcPr>
            <w:tcW w:w="1514" w:type="pct"/>
            <w:vAlign w:val="center"/>
          </w:tcPr>
          <w:p w14:paraId="4A28E0B2">
            <w:pPr>
              <w:spacing w:line="240" w:lineRule="auto"/>
              <w:ind w:firstLine="0" w:firstLineChars="0"/>
              <w:jc w:val="center"/>
              <w:rPr>
                <w:rFonts w:hint="eastAsia" w:ascii="宋体" w:hAnsi="宋体"/>
                <w:szCs w:val="24"/>
              </w:rPr>
            </w:pPr>
            <w:r>
              <w:rPr>
                <w:rFonts w:hint="eastAsia" w:ascii="宋体" w:hAnsi="宋体"/>
                <w:szCs w:val="24"/>
              </w:rPr>
              <w:t>电缆、桥架及附件等</w:t>
            </w:r>
          </w:p>
        </w:tc>
        <w:tc>
          <w:tcPr>
            <w:tcW w:w="851" w:type="pct"/>
            <w:noWrap/>
            <w:vAlign w:val="center"/>
          </w:tcPr>
          <w:p w14:paraId="1D40D7F8">
            <w:pPr>
              <w:spacing w:line="240" w:lineRule="auto"/>
              <w:ind w:firstLine="0" w:firstLineChars="0"/>
              <w:jc w:val="center"/>
              <w:rPr>
                <w:rFonts w:hint="eastAsia" w:ascii="宋体" w:hAnsi="宋体"/>
                <w:szCs w:val="24"/>
              </w:rPr>
            </w:pPr>
          </w:p>
        </w:tc>
        <w:tc>
          <w:tcPr>
            <w:tcW w:w="1105" w:type="pct"/>
            <w:noWrap/>
            <w:vAlign w:val="center"/>
          </w:tcPr>
          <w:p w14:paraId="5BAA0D9F">
            <w:pPr>
              <w:spacing w:line="240" w:lineRule="auto"/>
              <w:ind w:firstLine="0" w:firstLineChars="0"/>
              <w:jc w:val="center"/>
              <w:rPr>
                <w:rFonts w:hint="eastAsia" w:ascii="宋体" w:hAnsi="宋体"/>
                <w:szCs w:val="24"/>
              </w:rPr>
            </w:pPr>
            <w:r>
              <w:rPr>
                <w:rFonts w:hint="eastAsia" w:ascii="宋体" w:hAnsi="宋体"/>
                <w:szCs w:val="24"/>
              </w:rPr>
              <w:t>国产</w:t>
            </w:r>
            <w:r>
              <w:rPr>
                <w:rFonts w:ascii="宋体" w:hAnsi="宋体"/>
                <w:szCs w:val="24"/>
              </w:rPr>
              <w:t>优质</w:t>
            </w:r>
          </w:p>
        </w:tc>
        <w:tc>
          <w:tcPr>
            <w:tcW w:w="899" w:type="pct"/>
            <w:noWrap/>
            <w:vAlign w:val="center"/>
          </w:tcPr>
          <w:p w14:paraId="25D9865F">
            <w:pPr>
              <w:spacing w:line="240" w:lineRule="auto"/>
              <w:ind w:firstLine="0" w:firstLineChars="0"/>
              <w:jc w:val="center"/>
              <w:rPr>
                <w:rFonts w:hint="eastAsia" w:ascii="宋体" w:hAnsi="宋体"/>
                <w:szCs w:val="24"/>
              </w:rPr>
            </w:pPr>
          </w:p>
        </w:tc>
      </w:tr>
      <w:tr w14:paraId="2AE7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5"/>
            <w:noWrap/>
            <w:vAlign w:val="center"/>
          </w:tcPr>
          <w:p w14:paraId="41CB2F6E">
            <w:pPr>
              <w:spacing w:line="240" w:lineRule="auto"/>
              <w:ind w:firstLine="0" w:firstLineChars="0"/>
              <w:jc w:val="center"/>
              <w:rPr>
                <w:rFonts w:hint="eastAsia" w:ascii="宋体" w:hAnsi="宋体"/>
                <w:szCs w:val="24"/>
              </w:rPr>
            </w:pPr>
            <w:r>
              <w:rPr>
                <w:rFonts w:hint="eastAsia" w:ascii="宋体" w:hAnsi="宋体"/>
                <w:szCs w:val="24"/>
              </w:rPr>
              <w:t>注：以上器件选型主要针对输送电控系统。对于</w:t>
            </w:r>
            <w:r>
              <w:rPr>
                <w:rFonts w:ascii="宋体" w:hAnsi="宋体"/>
                <w:szCs w:val="24"/>
              </w:rPr>
              <w:t>堆垛机等</w:t>
            </w:r>
            <w:r>
              <w:rPr>
                <w:rFonts w:hint="eastAsia" w:ascii="宋体" w:hAnsi="宋体"/>
                <w:szCs w:val="24"/>
              </w:rPr>
              <w:t>定型的单机产品，遵循其成熟的设计和选型。</w:t>
            </w:r>
          </w:p>
        </w:tc>
      </w:tr>
    </w:tbl>
    <w:p w14:paraId="09BDBCE2">
      <w:pPr>
        <w:pStyle w:val="2"/>
        <w:rPr>
          <w:rFonts w:hint="eastAsia"/>
        </w:rPr>
      </w:pPr>
      <w:bookmarkStart w:id="273" w:name="_Toc69483497"/>
      <w:bookmarkStart w:id="274" w:name="_Toc4826"/>
      <w:bookmarkStart w:id="275" w:name="_Toc186389195"/>
      <w:bookmarkStart w:id="276" w:name="_Toc186452641"/>
      <w:bookmarkStart w:id="277" w:name="_Toc11360"/>
      <w:bookmarkStart w:id="278" w:name="_Toc169560672"/>
      <w:r>
        <w:t>人员培训</w:t>
      </w:r>
      <w:bookmarkEnd w:id="273"/>
      <w:bookmarkEnd w:id="274"/>
      <w:bookmarkEnd w:id="275"/>
      <w:bookmarkEnd w:id="276"/>
      <w:bookmarkEnd w:id="277"/>
      <w:bookmarkEnd w:id="278"/>
    </w:p>
    <w:p w14:paraId="783A3F18">
      <w:pPr>
        <w:ind w:firstLine="480"/>
        <w:rPr>
          <w:lang w:val="en-GB"/>
        </w:rPr>
      </w:pPr>
    </w:p>
    <w:p w14:paraId="4F03D9E8">
      <w:pPr>
        <w:pStyle w:val="3"/>
        <w:rPr>
          <w:rFonts w:ascii="Times New Roman" w:hAnsi="Times New Roman"/>
        </w:rPr>
      </w:pPr>
      <w:bookmarkStart w:id="279" w:name="_Toc69483498"/>
      <w:bookmarkStart w:id="280" w:name="_Toc20191"/>
      <w:bookmarkStart w:id="281" w:name="_Toc169560673"/>
      <w:bookmarkStart w:id="282" w:name="_Toc186452642"/>
      <w:bookmarkStart w:id="283" w:name="_Toc186389196"/>
      <w:bookmarkStart w:id="284" w:name="_Toc22781"/>
      <w:r>
        <w:rPr>
          <w:rFonts w:ascii="Times New Roman" w:hAnsi="Times New Roman"/>
        </w:rPr>
        <w:t>培训承诺书</w:t>
      </w:r>
      <w:bookmarkEnd w:id="279"/>
      <w:bookmarkEnd w:id="280"/>
      <w:bookmarkEnd w:id="281"/>
      <w:bookmarkEnd w:id="282"/>
      <w:bookmarkEnd w:id="283"/>
      <w:bookmarkEnd w:id="284"/>
    </w:p>
    <w:p w14:paraId="61CB6EC6">
      <w:pPr>
        <w:ind w:firstLine="0" w:firstLineChars="0"/>
        <w:rPr>
          <w:rFonts w:ascii="Times New Roman" w:hAnsi="Times New Roman" w:cs="Times New Roman"/>
          <w:lang w:val="en-GB"/>
        </w:rPr>
      </w:pPr>
      <w:r>
        <w:rPr>
          <w:rFonts w:ascii="Times New Roman" w:hAnsi="Times New Roman" w:cs="Times New Roman"/>
          <w:lang w:val="en-GB"/>
        </w:rPr>
        <w:t>根据招标文件的规定，我方在此承诺：</w:t>
      </w:r>
    </w:p>
    <w:p w14:paraId="5465856F">
      <w:pPr>
        <w:ind w:firstLine="0" w:firstLineChars="0"/>
        <w:rPr>
          <w:rFonts w:ascii="Times New Roman" w:hAnsi="Times New Roman" w:cs="Times New Roman"/>
          <w:lang w:val="en-GB"/>
        </w:rPr>
      </w:pPr>
      <w:r>
        <w:rPr>
          <w:rFonts w:ascii="Times New Roman" w:hAnsi="Times New Roman" w:cs="Times New Roman"/>
          <w:lang w:val="en-GB"/>
        </w:rPr>
        <w:t>（1）我公司为使用单位提供对用户操作使用人员、维修人员进行全方位培训的计划，并按计划及时开展培训工作，使其掌握基本操作、日常维护、简单故障排除等基本技能；</w:t>
      </w:r>
    </w:p>
    <w:p w14:paraId="55BCD58E">
      <w:pPr>
        <w:ind w:firstLine="0" w:firstLineChars="0"/>
        <w:rPr>
          <w:rFonts w:ascii="Times New Roman" w:hAnsi="Times New Roman" w:cs="Times New Roman"/>
          <w:lang w:val="en-GB"/>
        </w:rPr>
      </w:pPr>
      <w:r>
        <w:rPr>
          <w:rFonts w:ascii="Times New Roman" w:hAnsi="Times New Roman" w:cs="Times New Roman"/>
          <w:lang w:val="en-GB"/>
        </w:rPr>
        <w:t>（2）培训服务包括现场培训和教学培训两部分，到厂培训不少于5人次，实现不少于3天/人。</w:t>
      </w:r>
    </w:p>
    <w:p w14:paraId="48598772">
      <w:pPr>
        <w:ind w:firstLine="0" w:firstLineChars="0"/>
        <w:rPr>
          <w:rFonts w:ascii="Times New Roman" w:hAnsi="Times New Roman" w:cs="Times New Roman"/>
          <w:lang w:val="en-GB"/>
        </w:rPr>
      </w:pPr>
      <w:r>
        <w:rPr>
          <w:rFonts w:ascii="Times New Roman" w:hAnsi="Times New Roman" w:cs="Times New Roman"/>
          <w:lang w:val="en-GB"/>
        </w:rPr>
        <w:t>（3）我公司承诺对使用单位派出学习人员不得以任何借口进行技术保密，使用单位技术人员需满足我方提出的“防止技术扩散”要求。</w:t>
      </w:r>
    </w:p>
    <w:p w14:paraId="2DADF89B">
      <w:pPr>
        <w:pStyle w:val="3"/>
        <w:rPr>
          <w:rFonts w:ascii="Times New Roman" w:hAnsi="Times New Roman"/>
        </w:rPr>
      </w:pPr>
      <w:bookmarkStart w:id="285" w:name="_Toc186389197"/>
      <w:bookmarkStart w:id="286" w:name="_Toc69483499"/>
      <w:bookmarkStart w:id="287" w:name="_Toc21168"/>
      <w:bookmarkStart w:id="288" w:name="_Toc186452643"/>
      <w:bookmarkStart w:id="289" w:name="_Toc169560674"/>
      <w:bookmarkStart w:id="290" w:name="_Toc11185"/>
      <w:r>
        <w:rPr>
          <w:rFonts w:ascii="Times New Roman" w:hAnsi="Times New Roman"/>
        </w:rPr>
        <w:t>培训目的</w:t>
      </w:r>
      <w:bookmarkEnd w:id="285"/>
      <w:bookmarkEnd w:id="286"/>
      <w:bookmarkEnd w:id="287"/>
      <w:bookmarkEnd w:id="288"/>
      <w:bookmarkEnd w:id="289"/>
      <w:bookmarkEnd w:id="290"/>
    </w:p>
    <w:p w14:paraId="06272422">
      <w:pPr>
        <w:ind w:firstLine="480"/>
        <w:rPr>
          <w:rFonts w:ascii="Times New Roman" w:hAnsi="Times New Roman" w:cs="Times New Roman"/>
          <w:lang w:val="en-GB"/>
        </w:rPr>
      </w:pPr>
      <w:r>
        <w:rPr>
          <w:rFonts w:ascii="Times New Roman" w:hAnsi="Times New Roman" w:cs="Times New Roman"/>
          <w:lang w:val="en-GB"/>
        </w:rPr>
        <w:t>本次培训主要针对</w:t>
      </w:r>
      <w:r>
        <w:rPr>
          <w:rFonts w:hint="eastAsia" w:ascii="Times New Roman" w:hAnsi="Times New Roman" w:cs="Times New Roman"/>
          <w:lang w:val="en-GB"/>
        </w:rPr>
        <w:t>本项目</w:t>
      </w:r>
      <w:r>
        <w:rPr>
          <w:rFonts w:ascii="Times New Roman" w:hAnsi="Times New Roman" w:cs="Times New Roman"/>
          <w:lang w:val="en-GB"/>
        </w:rPr>
        <w:t>自动化设备展开系统性培训，阐述工程建设的重要性, 提升对自动化设备项目基础设施运维管理质量效能,从系统功能原理、安装测试、使用维护、实际操作多角度，</w:t>
      </w:r>
      <w:r>
        <w:rPr>
          <w:szCs w:val="24"/>
        </w:rPr>
        <w:t>全方位</w:t>
      </w:r>
      <w:r>
        <w:rPr>
          <w:rFonts w:ascii="Times New Roman" w:hAnsi="Times New Roman" w:cs="Times New Roman"/>
          <w:lang w:val="en-GB"/>
        </w:rPr>
        <w:t>提供技术培训服务，进一步提升建设者的决策能力及运维人员的运维水平，为系统在以后的运行过程中的可靠运行提供坚实理论保障，使系统一直运行于最佳状态。</w:t>
      </w:r>
    </w:p>
    <w:p w14:paraId="26A1ED51">
      <w:pPr>
        <w:ind w:firstLine="480"/>
        <w:rPr>
          <w:rFonts w:ascii="Times New Roman" w:hAnsi="Times New Roman" w:cs="Times New Roman"/>
          <w:lang w:val="en-GB"/>
        </w:rPr>
      </w:pPr>
      <w:r>
        <w:rPr>
          <w:rFonts w:ascii="Times New Roman" w:hAnsi="Times New Roman" w:cs="Times New Roman"/>
          <w:lang w:val="en-GB"/>
        </w:rPr>
        <w:t>通过本次学习，可以使受训者了解系统功能、安装测试、操作维护，提升系统的维护管理水平，为自动化设备项目推广和运维管理探路奠基。</w:t>
      </w:r>
    </w:p>
    <w:p w14:paraId="2D1A0269">
      <w:pPr>
        <w:pStyle w:val="3"/>
        <w:rPr>
          <w:rFonts w:ascii="Times New Roman" w:hAnsi="Times New Roman"/>
        </w:rPr>
      </w:pPr>
      <w:bookmarkStart w:id="291" w:name="_Toc186452644"/>
      <w:bookmarkStart w:id="292" w:name="_Toc69483500"/>
      <w:bookmarkStart w:id="293" w:name="_Toc186389198"/>
      <w:bookmarkStart w:id="294" w:name="_Toc169560675"/>
      <w:bookmarkStart w:id="295" w:name="_Toc32110"/>
      <w:bookmarkStart w:id="296" w:name="_Toc32390"/>
      <w:r>
        <w:rPr>
          <w:rFonts w:ascii="Times New Roman" w:hAnsi="Times New Roman"/>
        </w:rPr>
        <w:t>培训服务原则</w:t>
      </w:r>
      <w:bookmarkEnd w:id="291"/>
      <w:bookmarkEnd w:id="292"/>
      <w:bookmarkEnd w:id="293"/>
      <w:bookmarkEnd w:id="294"/>
      <w:bookmarkEnd w:id="295"/>
      <w:bookmarkEnd w:id="296"/>
    </w:p>
    <w:p w14:paraId="59DB42A5">
      <w:pPr>
        <w:ind w:firstLine="480"/>
        <w:rPr>
          <w:szCs w:val="24"/>
        </w:rPr>
      </w:pPr>
      <w:r>
        <w:rPr>
          <w:szCs w:val="24"/>
        </w:rPr>
        <w:t>为全面提升服务质量，我公司承诺在满足招标人要求的前提下进一步深化培训服务原则，具体如下：</w:t>
      </w:r>
    </w:p>
    <w:p w14:paraId="4B989F3D">
      <w:pPr>
        <w:ind w:firstLine="480"/>
        <w:rPr>
          <w:szCs w:val="24"/>
        </w:rPr>
      </w:pPr>
      <w:r>
        <w:rPr>
          <w:szCs w:val="24"/>
        </w:rPr>
        <w:t>我公司中选后，在规定时间内将根据招标人提供的培训信息，制定详细和周密的培训时间安排和课程实施方案，每次课程积极进行需求调研、课程开发、课程设计、课程实施、效果评估及成果输出制作等培训相关服务，并保证按要求的时限和行业公认的准则，保质保量地完成招标人所委托之服务事项。</w:t>
      </w:r>
    </w:p>
    <w:p w14:paraId="3921C532">
      <w:pPr>
        <w:ind w:firstLine="480"/>
        <w:rPr>
          <w:szCs w:val="24"/>
        </w:rPr>
      </w:pPr>
      <w:r>
        <w:rPr>
          <w:szCs w:val="24"/>
        </w:rPr>
        <w:t>根据招标人要求的时间和地点等安排需求，合理安排相应讲师和支撑团队完成培训。需要招标人协助的，提前与招标人沟通。同时，对培训时间安排调整、应变的能力提前给与明确说明，并保证按招标人要求的时限和行业公认的准则，保质保量地完成招标人所委托之服务事项。</w:t>
      </w:r>
    </w:p>
    <w:p w14:paraId="5F96E76E">
      <w:pPr>
        <w:ind w:firstLine="480"/>
        <w:rPr>
          <w:szCs w:val="24"/>
        </w:rPr>
      </w:pPr>
      <w:r>
        <w:rPr>
          <w:szCs w:val="24"/>
        </w:rPr>
        <w:t>由于事故或者不可抗力导致讲师不能到达，将在开课 72 小时前启动预案，确保培训的时效性。</w:t>
      </w:r>
    </w:p>
    <w:p w14:paraId="3B393FC0">
      <w:pPr>
        <w:ind w:firstLine="480"/>
        <w:rPr>
          <w:szCs w:val="24"/>
        </w:rPr>
      </w:pPr>
      <w:r>
        <w:rPr>
          <w:szCs w:val="24"/>
        </w:rPr>
        <w:t>培训正式实施前，我公司会深入了解学员的培训需求，并保证在培训前5天将培训材料提供给招标人，并与招标人提前做好沟通对接。</w:t>
      </w:r>
    </w:p>
    <w:p w14:paraId="1E4F8BF5">
      <w:pPr>
        <w:ind w:firstLine="480"/>
        <w:rPr>
          <w:szCs w:val="24"/>
        </w:rPr>
      </w:pPr>
      <w:r>
        <w:rPr>
          <w:szCs w:val="24"/>
        </w:rPr>
        <w:t>在培训过程中，对培训工作提出的问题和要求，参选人应及时予以解释和改进。</w:t>
      </w:r>
    </w:p>
    <w:p w14:paraId="6CB8FC5C">
      <w:pPr>
        <w:ind w:firstLine="480"/>
        <w:rPr>
          <w:szCs w:val="24"/>
        </w:rPr>
      </w:pPr>
      <w:r>
        <w:rPr>
          <w:szCs w:val="24"/>
        </w:rPr>
        <w:t>培训结束后，根据招标人要求免费做好培训效果评估，包括培训满意度、学习效果评估，收集整理评估数据，提供培训效果分析报告。</w:t>
      </w:r>
    </w:p>
    <w:p w14:paraId="0FB644C5">
      <w:pPr>
        <w:ind w:firstLine="480"/>
        <w:rPr>
          <w:szCs w:val="24"/>
        </w:rPr>
      </w:pPr>
      <w:r>
        <w:rPr>
          <w:szCs w:val="24"/>
        </w:rPr>
        <w:t>同时，我公司承诺，严守在服务过程中知悉的任何招标人的业务资料及商业秘密，不向第三方泄露。</w:t>
      </w:r>
    </w:p>
    <w:p w14:paraId="5E78EA0B">
      <w:pPr>
        <w:pStyle w:val="3"/>
        <w:rPr>
          <w:rFonts w:ascii="Times New Roman" w:hAnsi="Times New Roman"/>
        </w:rPr>
      </w:pPr>
      <w:bookmarkStart w:id="297" w:name="_Toc16153"/>
      <w:bookmarkStart w:id="298" w:name="_Toc69483501"/>
      <w:bookmarkStart w:id="299" w:name="_Toc10643"/>
      <w:bookmarkStart w:id="300" w:name="_Toc169560676"/>
      <w:bookmarkStart w:id="301" w:name="_Toc186389199"/>
      <w:bookmarkStart w:id="302" w:name="_Toc186452645"/>
      <w:r>
        <w:rPr>
          <w:rFonts w:ascii="Times New Roman" w:hAnsi="Times New Roman"/>
        </w:rPr>
        <w:t>培训形式与组织</w:t>
      </w:r>
      <w:bookmarkEnd w:id="297"/>
      <w:bookmarkEnd w:id="298"/>
      <w:bookmarkEnd w:id="299"/>
      <w:bookmarkEnd w:id="300"/>
      <w:bookmarkEnd w:id="301"/>
      <w:bookmarkEnd w:id="302"/>
    </w:p>
    <w:p w14:paraId="5FB795D7">
      <w:pPr>
        <w:ind w:firstLine="0" w:firstLineChars="0"/>
        <w:rPr>
          <w:rFonts w:ascii="Times New Roman" w:hAnsi="Times New Roman" w:cs="Times New Roman"/>
          <w:lang w:val="en-GB"/>
        </w:rPr>
      </w:pPr>
      <w:r>
        <w:rPr>
          <w:rFonts w:ascii="Times New Roman" w:hAnsi="Times New Roman" w:cs="Times New Roman"/>
          <w:lang w:val="en-GB"/>
        </w:rPr>
        <w:t>为了使用户在工作中能够灵活选择培训方式，我司为用户提供六种培训方式：</w:t>
      </w:r>
    </w:p>
    <w:p w14:paraId="20FC3DE3">
      <w:pPr>
        <w:ind w:firstLine="0" w:firstLineChars="0"/>
        <w:rPr>
          <w:rFonts w:ascii="Times New Roman" w:hAnsi="Times New Roman" w:cs="Times New Roman"/>
          <w:lang w:val="en-GB"/>
        </w:rPr>
      </w:pPr>
      <w:r>
        <w:rPr>
          <w:rFonts w:ascii="Times New Roman" w:hAnsi="Times New Roman" w:cs="Times New Roman"/>
          <w:lang w:val="en-GB"/>
        </w:rPr>
        <w:t xml:space="preserve">（1）现场培训 </w:t>
      </w:r>
    </w:p>
    <w:p w14:paraId="07DEECB5">
      <w:pPr>
        <w:ind w:firstLine="0" w:firstLineChars="0"/>
        <w:rPr>
          <w:rFonts w:ascii="Times New Roman" w:hAnsi="Times New Roman" w:cs="Times New Roman"/>
          <w:lang w:val="en-GB"/>
        </w:rPr>
      </w:pPr>
      <w:r>
        <w:rPr>
          <w:rFonts w:ascii="Times New Roman" w:hAnsi="Times New Roman" w:cs="Times New Roman"/>
          <w:lang w:val="en-GB"/>
        </w:rPr>
        <w:t>在现场实施过程中，用户技术人员跟随实施人员参与调试，从而熟悉结构、连接、问题处理及在操作过程中的注意事项。</w:t>
      </w:r>
    </w:p>
    <w:p w14:paraId="0E2B9AEC">
      <w:pPr>
        <w:ind w:firstLine="0" w:firstLineChars="0"/>
        <w:rPr>
          <w:rFonts w:ascii="Times New Roman" w:hAnsi="Times New Roman" w:cs="Times New Roman"/>
          <w:lang w:val="en-GB"/>
        </w:rPr>
      </w:pPr>
      <w:r>
        <w:rPr>
          <w:rFonts w:ascii="Times New Roman" w:hAnsi="Times New Roman" w:cs="Times New Roman"/>
          <w:lang w:val="en-GB"/>
        </w:rPr>
        <w:t xml:space="preserve">（2）教学培训 </w:t>
      </w:r>
    </w:p>
    <w:p w14:paraId="39E307EE">
      <w:pPr>
        <w:ind w:firstLine="0" w:firstLineChars="0"/>
        <w:rPr>
          <w:rFonts w:ascii="Times New Roman" w:hAnsi="Times New Roman" w:cs="Times New Roman"/>
          <w:lang w:val="en-GB"/>
        </w:rPr>
      </w:pPr>
      <w:r>
        <w:rPr>
          <w:rFonts w:ascii="Times New Roman" w:hAnsi="Times New Roman" w:cs="Times New Roman"/>
          <w:lang w:val="en-GB"/>
        </w:rPr>
        <w:t>采用幻灯片讲义或视频的形式进行集中教学。培训中，会针对堆垛机系统、输送系统等全部设备原理、操作使用及日常维护等方面内容进行重点分析和讲解，为参训人员提供直观形象的培训内容。</w:t>
      </w:r>
    </w:p>
    <w:p w14:paraId="55B41824">
      <w:pPr>
        <w:ind w:firstLine="0" w:firstLineChars="0"/>
        <w:rPr>
          <w:rFonts w:ascii="Times New Roman" w:hAnsi="Times New Roman" w:cs="Times New Roman"/>
          <w:lang w:val="en-GB"/>
        </w:rPr>
      </w:pPr>
      <w:r>
        <w:rPr>
          <w:rFonts w:ascii="Times New Roman" w:hAnsi="Times New Roman" w:cs="Times New Roman"/>
          <w:lang w:val="en-GB"/>
        </w:rPr>
        <w:t xml:space="preserve">（3）实操培训 </w:t>
      </w:r>
    </w:p>
    <w:p w14:paraId="790EFF62">
      <w:pPr>
        <w:ind w:firstLine="0" w:firstLineChars="0"/>
        <w:rPr>
          <w:rFonts w:ascii="Times New Roman" w:hAnsi="Times New Roman" w:cs="Times New Roman"/>
          <w:lang w:val="en-GB"/>
        </w:rPr>
      </w:pPr>
      <w:r>
        <w:rPr>
          <w:rFonts w:ascii="Times New Roman" w:hAnsi="Times New Roman" w:cs="Times New Roman"/>
          <w:lang w:val="en-GB"/>
        </w:rPr>
        <w:t>实操培训采取讲解和交流相结合的方式，利用设备进行演示和讲解。由培训讲师指导用户操作、讲解操作方法、提供用户操作手册进行培训。</w:t>
      </w:r>
    </w:p>
    <w:p w14:paraId="4F68386E">
      <w:pPr>
        <w:ind w:firstLine="0" w:firstLineChars="0"/>
        <w:rPr>
          <w:rFonts w:ascii="Times New Roman" w:hAnsi="Times New Roman" w:cs="Times New Roman"/>
          <w:lang w:val="en-GB"/>
        </w:rPr>
      </w:pPr>
      <w:r>
        <w:rPr>
          <w:rFonts w:ascii="Times New Roman" w:hAnsi="Times New Roman" w:cs="Times New Roman"/>
          <w:lang w:val="en-GB"/>
        </w:rPr>
        <w:t xml:space="preserve">（4）电话培训 </w:t>
      </w:r>
    </w:p>
    <w:p w14:paraId="6C49A81A">
      <w:pPr>
        <w:ind w:firstLine="0" w:firstLineChars="0"/>
        <w:rPr>
          <w:rFonts w:ascii="Times New Roman" w:hAnsi="Times New Roman" w:cs="Times New Roman"/>
          <w:lang w:val="en-GB"/>
        </w:rPr>
      </w:pPr>
      <w:r>
        <w:rPr>
          <w:rFonts w:ascii="Times New Roman" w:hAnsi="Times New Roman" w:cs="Times New Roman"/>
          <w:lang w:val="en-GB"/>
        </w:rPr>
        <w:t>电话培训采用远程电话的方式与用户进行一对一的直接沟通，指导用户进行操作，解答用户咨询、处理问题故障。</w:t>
      </w:r>
    </w:p>
    <w:p w14:paraId="60C2ECF9">
      <w:pPr>
        <w:ind w:firstLine="0" w:firstLineChars="0"/>
        <w:rPr>
          <w:rFonts w:ascii="Times New Roman" w:hAnsi="Times New Roman" w:cs="Times New Roman"/>
          <w:lang w:val="en-GB"/>
        </w:rPr>
      </w:pPr>
      <w:r>
        <w:rPr>
          <w:rFonts w:ascii="Times New Roman" w:hAnsi="Times New Roman" w:cs="Times New Roman"/>
          <w:lang w:val="en-GB"/>
        </w:rPr>
        <w:t xml:space="preserve">（5）视频培训 </w:t>
      </w:r>
    </w:p>
    <w:p w14:paraId="3109EC4B">
      <w:pPr>
        <w:ind w:firstLine="0" w:firstLineChars="0"/>
        <w:rPr>
          <w:rFonts w:ascii="Times New Roman" w:hAnsi="Times New Roman" w:cs="Times New Roman"/>
          <w:lang w:val="en-GB"/>
        </w:rPr>
      </w:pPr>
      <w:r>
        <w:rPr>
          <w:rFonts w:ascii="Times New Roman" w:hAnsi="Times New Roman" w:cs="Times New Roman"/>
          <w:lang w:val="en-GB"/>
        </w:rPr>
        <w:t>视频培训通过制作设备维护、功能使用、故障排查等方面的视频，向用户提供可直接学习的影视资料，为用户提供自主学习的方式。</w:t>
      </w:r>
    </w:p>
    <w:p w14:paraId="64BAB8EF">
      <w:pPr>
        <w:ind w:firstLine="0" w:firstLineChars="0"/>
        <w:rPr>
          <w:rFonts w:ascii="Times New Roman" w:hAnsi="Times New Roman" w:cs="Times New Roman"/>
          <w:lang w:val="en-GB"/>
        </w:rPr>
      </w:pPr>
      <w:r>
        <w:rPr>
          <w:rFonts w:ascii="Times New Roman" w:hAnsi="Times New Roman" w:cs="Times New Roman"/>
          <w:lang w:val="en-GB"/>
        </w:rPr>
        <w:t xml:space="preserve">（6）人员上门培训 </w:t>
      </w:r>
    </w:p>
    <w:p w14:paraId="6A5591CC">
      <w:pPr>
        <w:ind w:firstLine="0" w:firstLineChars="0"/>
        <w:rPr>
          <w:rFonts w:ascii="Times New Roman" w:hAnsi="Times New Roman" w:cs="Times New Roman"/>
          <w:lang w:val="en-GB"/>
        </w:rPr>
      </w:pPr>
      <w:r>
        <w:rPr>
          <w:rFonts w:ascii="Times New Roman" w:hAnsi="Times New Roman" w:cs="Times New Roman"/>
          <w:lang w:val="en-GB"/>
        </w:rPr>
        <w:t>对于无法通过上述培训方式进行处理的需求，与用户进行协商，安排人员上门进行处理，快速进行响应。</w:t>
      </w:r>
    </w:p>
    <w:p w14:paraId="6FC72B4E">
      <w:pPr>
        <w:pStyle w:val="3"/>
        <w:rPr>
          <w:rFonts w:ascii="Times New Roman" w:hAnsi="Times New Roman"/>
        </w:rPr>
      </w:pPr>
      <w:bookmarkStart w:id="303" w:name="_Toc24426"/>
      <w:bookmarkStart w:id="304" w:name="_Toc169560677"/>
      <w:bookmarkStart w:id="305" w:name="_Toc69483502"/>
      <w:bookmarkStart w:id="306" w:name="_Toc186389200"/>
      <w:bookmarkStart w:id="307" w:name="_Toc186452646"/>
      <w:bookmarkStart w:id="308" w:name="_Toc22564"/>
      <w:r>
        <w:rPr>
          <w:rFonts w:ascii="Times New Roman" w:hAnsi="Times New Roman"/>
        </w:rPr>
        <w:t>培训目标</w:t>
      </w:r>
      <w:bookmarkEnd w:id="303"/>
      <w:bookmarkEnd w:id="304"/>
      <w:bookmarkEnd w:id="305"/>
      <w:bookmarkEnd w:id="306"/>
      <w:bookmarkEnd w:id="307"/>
      <w:bookmarkEnd w:id="308"/>
    </w:p>
    <w:p w14:paraId="46D53444">
      <w:pPr>
        <w:ind w:firstLine="480"/>
        <w:rPr>
          <w:szCs w:val="24"/>
        </w:rPr>
      </w:pPr>
      <w:r>
        <w:rPr>
          <w:szCs w:val="24"/>
        </w:rPr>
        <w:t>本次培训的目标，首先是要保证本次项目建设的顺利实施及系统上线的正常使用，加强用户方使用人员对设备的熟悉及操作，同时也要为客户方系统管理员提供系统运维级别的技术培训，确保今后系统运行过程中的日常维护管理工作能正常进行。</w:t>
      </w:r>
    </w:p>
    <w:p w14:paraId="7C42E1F3">
      <w:pPr>
        <w:ind w:firstLine="480"/>
        <w:rPr>
          <w:szCs w:val="24"/>
        </w:rPr>
      </w:pPr>
      <w:r>
        <w:rPr>
          <w:szCs w:val="24"/>
        </w:rPr>
        <w:t>因此，我公司对此次工程中的培训任务给予高度重视，首先选择具有丰富工作实践和售后经验的技术人员担任教师，其次认真编写有关培训教材，将课程简化浓缩，充分保证培训课程的实用性。</w:t>
      </w:r>
    </w:p>
    <w:p w14:paraId="2CE331E5">
      <w:pPr>
        <w:ind w:firstLine="480"/>
        <w:rPr>
          <w:rFonts w:ascii="Times New Roman" w:hAnsi="Times New Roman" w:cs="Times New Roman"/>
          <w:lang w:val="en-GB"/>
        </w:rPr>
      </w:pPr>
      <w:r>
        <w:rPr>
          <w:szCs w:val="24"/>
        </w:rPr>
        <w:t>培训将为用户单位相关人员提供包括设备安装、设备操作、系统配置管理、系统应用与维护、协助软件安装调试等培训，使用户方能够掌握设备的使用、维护和管理，达到能够独立进行日常管理、故障处理、使用</w:t>
      </w:r>
      <w:r>
        <w:rPr>
          <w:rFonts w:ascii="Times New Roman" w:hAnsi="Times New Roman" w:cs="Times New Roman"/>
          <w:lang w:val="en-GB"/>
        </w:rPr>
        <w:t>维护等工作，保障用户的业务能够在本设备上正常、安全运行。</w:t>
      </w:r>
    </w:p>
    <w:p w14:paraId="22FDF988">
      <w:pPr>
        <w:ind w:firstLine="480"/>
        <w:rPr>
          <w:rFonts w:ascii="Times New Roman" w:hAnsi="Times New Roman" w:cs="Times New Roman"/>
          <w:lang w:val="en-GB"/>
        </w:rPr>
      </w:pPr>
      <w:r>
        <w:rPr>
          <w:rFonts w:ascii="Times New Roman" w:hAnsi="Times New Roman" w:cs="Times New Roman"/>
          <w:lang w:val="en-GB"/>
        </w:rPr>
        <w:t>具体培训目标包括：</w:t>
      </w:r>
    </w:p>
    <w:p w14:paraId="045A99FF">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了解并掌握本设备的系统架构、硬件配置、系统配置；</w:t>
      </w:r>
    </w:p>
    <w:p w14:paraId="22D278F8">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掌握设备初始化和主要参数的设定方法；</w:t>
      </w:r>
    </w:p>
    <w:p w14:paraId="7F7797CF">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掌握设备使用方法；</w:t>
      </w:r>
    </w:p>
    <w:p w14:paraId="2A07D89C">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熟悉相关软件在设备上的应用情况；</w:t>
      </w:r>
    </w:p>
    <w:p w14:paraId="0A0DAE9E">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对设备一般故障进行诊断、定位和排除；</w:t>
      </w:r>
    </w:p>
    <w:p w14:paraId="49F0A3FD">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掌握设备运行、维护和保养规程及其操作。</w:t>
      </w:r>
    </w:p>
    <w:p w14:paraId="2FCFEA6B">
      <w:pPr>
        <w:pStyle w:val="3"/>
        <w:rPr>
          <w:rFonts w:ascii="Times New Roman" w:hAnsi="Times New Roman"/>
        </w:rPr>
      </w:pPr>
      <w:bookmarkStart w:id="309" w:name="_Toc69483503"/>
      <w:bookmarkStart w:id="310" w:name="_Toc186389201"/>
      <w:bookmarkStart w:id="311" w:name="_Toc186452647"/>
      <w:bookmarkStart w:id="312" w:name="_Toc4318"/>
      <w:bookmarkStart w:id="313" w:name="_Toc10955"/>
      <w:bookmarkStart w:id="314" w:name="_Toc169560678"/>
      <w:r>
        <w:rPr>
          <w:rFonts w:ascii="Times New Roman" w:hAnsi="Times New Roman"/>
        </w:rPr>
        <w:t>培训内容</w:t>
      </w:r>
      <w:bookmarkEnd w:id="309"/>
      <w:bookmarkEnd w:id="310"/>
      <w:bookmarkEnd w:id="311"/>
      <w:bookmarkEnd w:id="312"/>
      <w:bookmarkEnd w:id="313"/>
      <w:bookmarkEnd w:id="314"/>
    </w:p>
    <w:p w14:paraId="5660C59D">
      <w:pPr>
        <w:ind w:firstLine="0" w:firstLineChars="0"/>
        <w:rPr>
          <w:rFonts w:ascii="Times New Roman" w:hAnsi="Times New Roman" w:cs="Times New Roman"/>
          <w:lang w:val="en-GB"/>
        </w:rPr>
      </w:pPr>
      <w:r>
        <w:rPr>
          <w:rFonts w:ascii="Times New Roman" w:hAnsi="Times New Roman" w:cs="Times New Roman"/>
          <w:lang w:val="en-GB"/>
        </w:rPr>
        <w:t>可提供两个层面的技术培训工作：</w:t>
      </w:r>
    </w:p>
    <w:p w14:paraId="598A0175">
      <w:pPr>
        <w:pStyle w:val="20"/>
        <w:numPr>
          <w:ilvl w:val="0"/>
          <w:numId w:val="7"/>
        </w:numPr>
        <w:ind w:left="0" w:leftChars="-118" w:hanging="283" w:hangingChars="118"/>
        <w:rPr>
          <w:rFonts w:ascii="Times New Roman" w:hAnsi="Times New Roman" w:cs="Times New Roman"/>
          <w:lang w:val="en-GB"/>
        </w:rPr>
      </w:pPr>
      <w:r>
        <w:rPr>
          <w:rFonts w:ascii="Times New Roman" w:hAnsi="Times New Roman" w:cs="Times New Roman"/>
          <w:lang w:val="en-GB"/>
        </w:rPr>
        <w:t>面向用户的平台使用与简单维护培训。</w:t>
      </w:r>
    </w:p>
    <w:p w14:paraId="1E66D526">
      <w:pPr>
        <w:pStyle w:val="20"/>
        <w:numPr>
          <w:ilvl w:val="0"/>
          <w:numId w:val="7"/>
        </w:numPr>
        <w:ind w:left="0" w:leftChars="-118" w:hanging="283" w:hangingChars="118"/>
        <w:rPr>
          <w:rFonts w:ascii="Times New Roman" w:hAnsi="Times New Roman" w:cs="Times New Roman"/>
          <w:lang w:val="en-GB"/>
        </w:rPr>
      </w:pPr>
      <w:r>
        <w:rPr>
          <w:rFonts w:ascii="Times New Roman" w:hAnsi="Times New Roman" w:cs="Times New Roman"/>
          <w:lang w:val="en-GB"/>
        </w:rPr>
        <w:t>适合本服务体系的技术培训及工程师认证体系。从新机种导入技术传授到末端服务人员的服务基础和技术技能培训，涉及服务全过程所需的技术技能和基础技能，力求使得相关技术培训工作更趋专业化和标准化。</w:t>
      </w:r>
    </w:p>
    <w:p w14:paraId="6A0BDF01">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设备培训</w:t>
      </w:r>
    </w:p>
    <w:p w14:paraId="64771F26">
      <w:pPr>
        <w:ind w:firstLine="420" w:firstLineChars="0"/>
        <w:rPr>
          <w:rFonts w:ascii="Times New Roman" w:hAnsi="Times New Roman" w:cs="Times New Roman"/>
          <w:lang w:val="en-GB"/>
        </w:rPr>
      </w:pPr>
      <w:r>
        <w:rPr>
          <w:rFonts w:ascii="Times New Roman" w:hAnsi="Times New Roman" w:cs="Times New Roman"/>
          <w:lang w:val="en-GB"/>
        </w:rPr>
        <w:t>设备培训主要面向库房内一线操作人员进行堆垛机系统、输送系统等操作及维护培训。通过培训使员工熟练掌握各项物流设备正确使用规范、安全操作要求以及设备日常保养、维护知识。设备培训分为设备操作培训与设备维护培训两方面。</w:t>
      </w:r>
    </w:p>
    <w:p w14:paraId="48F2E353">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设备操作培训</w:t>
      </w:r>
    </w:p>
    <w:p w14:paraId="2907BDEC">
      <w:pPr>
        <w:ind w:firstLine="420" w:firstLineChars="0"/>
        <w:rPr>
          <w:rFonts w:ascii="Times New Roman" w:hAnsi="Times New Roman" w:cs="Times New Roman"/>
          <w:lang w:val="en-GB"/>
        </w:rPr>
      </w:pPr>
      <w:r>
        <w:rPr>
          <w:rFonts w:ascii="Times New Roman" w:hAnsi="Times New Roman" w:cs="Times New Roman"/>
          <w:lang w:val="en-GB"/>
        </w:rPr>
        <w:t>操作培训的目的是通过对硬件设备日常使用操作的培训和指导，帮助链多多的操作人员掌握先进的技术和技能，使操作人员能够正确、熟练地掌握各自工作范围内的操作，能够正确地对各种情况进行处理。</w:t>
      </w:r>
    </w:p>
    <w:p w14:paraId="290DC740">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设备维护培训</w:t>
      </w:r>
    </w:p>
    <w:p w14:paraId="10A1A4CA">
      <w:pPr>
        <w:ind w:firstLine="420" w:firstLineChars="0"/>
        <w:rPr>
          <w:rFonts w:ascii="Times New Roman" w:hAnsi="Times New Roman" w:cs="Times New Roman"/>
          <w:lang w:val="en-GB"/>
        </w:rPr>
      </w:pPr>
      <w:r>
        <w:rPr>
          <w:rFonts w:ascii="Times New Roman" w:hAnsi="Times New Roman" w:cs="Times New Roman"/>
          <w:lang w:val="en-GB"/>
        </w:rPr>
        <w:t>维护培训是面向硬件设备维护人员的培训，主要进行硬件设备的基本结构、性能、主要部件的构造及原理、保养与管理、常见故障的排除以及紧急情况的处理等内容的培训，培训的目的是在系统上线半年内为业主培训硬件工程师两名，确保被培训工程师能独立解决中小故障，以便顺利进行物流设备的日常管理维护工作。</w:t>
      </w:r>
    </w:p>
    <w:p w14:paraId="243B9840">
      <w:pPr>
        <w:pStyle w:val="3"/>
        <w:sectPr>
          <w:footerReference r:id="rId12" w:type="default"/>
          <w:pgSz w:w="11906" w:h="16838"/>
          <w:pgMar w:top="1418" w:right="1800" w:bottom="1418" w:left="1800" w:header="851" w:footer="992" w:gutter="0"/>
          <w:cols w:space="425" w:num="1"/>
          <w:docGrid w:linePitch="312" w:charSpace="0"/>
        </w:sectPr>
      </w:pPr>
    </w:p>
    <w:p w14:paraId="1D4C91F0">
      <w:pPr>
        <w:pStyle w:val="2"/>
        <w:rPr>
          <w:rFonts w:hint="eastAsia"/>
        </w:rPr>
      </w:pPr>
      <w:bookmarkStart w:id="315" w:name="_Toc5279"/>
      <w:bookmarkStart w:id="316" w:name="_Toc186452648"/>
      <w:bookmarkStart w:id="317" w:name="_Toc22508"/>
      <w:bookmarkStart w:id="318" w:name="_Toc186389202"/>
      <w:bookmarkStart w:id="319" w:name="_Toc169560679"/>
      <w:r>
        <w:t>项目组织及实施方案</w:t>
      </w:r>
      <w:bookmarkEnd w:id="315"/>
      <w:bookmarkEnd w:id="316"/>
      <w:bookmarkEnd w:id="317"/>
      <w:bookmarkEnd w:id="318"/>
      <w:bookmarkEnd w:id="319"/>
    </w:p>
    <w:p w14:paraId="1D8770FE">
      <w:pPr>
        <w:pStyle w:val="3"/>
        <w:rPr>
          <w:rFonts w:ascii="Times New Roman" w:hAnsi="Times New Roman"/>
        </w:rPr>
      </w:pPr>
      <w:bookmarkStart w:id="320" w:name="_Toc20005"/>
      <w:bookmarkStart w:id="321" w:name="_Toc186389203"/>
      <w:bookmarkStart w:id="322" w:name="_Toc169560680"/>
      <w:bookmarkStart w:id="323" w:name="_Toc14079"/>
      <w:bookmarkStart w:id="324" w:name="_Toc186452649"/>
      <w:r>
        <w:rPr>
          <w:rFonts w:ascii="Times New Roman" w:hAnsi="Times New Roman"/>
        </w:rPr>
        <w:t>进度方案</w:t>
      </w:r>
      <w:bookmarkEnd w:id="320"/>
      <w:bookmarkEnd w:id="321"/>
      <w:bookmarkEnd w:id="322"/>
      <w:bookmarkEnd w:id="323"/>
      <w:bookmarkEnd w:id="324"/>
    </w:p>
    <w:p w14:paraId="70067AB7">
      <w:pPr>
        <w:pStyle w:val="4"/>
        <w:rPr>
          <w:rFonts w:hint="eastAsia"/>
        </w:rPr>
      </w:pPr>
      <w:bookmarkStart w:id="325" w:name="_Toc186389204"/>
      <w:bookmarkStart w:id="326" w:name="_Toc9115"/>
      <w:bookmarkStart w:id="327" w:name="_Toc23600"/>
      <w:bookmarkStart w:id="328" w:name="_Toc186452650"/>
      <w:r>
        <w:t>进度整体目标</w:t>
      </w:r>
      <w:bookmarkEnd w:id="325"/>
      <w:bookmarkEnd w:id="326"/>
      <w:bookmarkEnd w:id="327"/>
      <w:bookmarkEnd w:id="328"/>
    </w:p>
    <w:p w14:paraId="439EB265">
      <w:pPr>
        <w:ind w:firstLine="480"/>
        <w:rPr>
          <w:rFonts w:ascii="Times New Roman" w:hAnsi="Times New Roman" w:cs="Times New Roman"/>
        </w:rPr>
      </w:pPr>
      <w:r>
        <w:rPr>
          <w:rFonts w:ascii="Times New Roman" w:hAnsi="Times New Roman" w:cs="Times New Roman"/>
        </w:rPr>
        <w:t>以预付款到账计算起始时间，整个</w:t>
      </w:r>
      <w:r>
        <w:rPr>
          <w:rFonts w:hint="eastAsia" w:ascii="Times New Roman" w:hAnsi="Times New Roman" w:cs="Times New Roman"/>
        </w:rPr>
        <w:t>自动化仓库</w:t>
      </w:r>
      <w:r>
        <w:rPr>
          <w:rFonts w:ascii="Times New Roman" w:hAnsi="Times New Roman" w:cs="Times New Roman"/>
        </w:rPr>
        <w:t>工期约为</w:t>
      </w:r>
      <w:r>
        <w:rPr>
          <w:rFonts w:hint="eastAsia" w:ascii="Times New Roman" w:hAnsi="Times New Roman" w:cs="Times New Roman"/>
        </w:rPr>
        <w:t>18</w:t>
      </w:r>
      <w:r>
        <w:rPr>
          <w:rFonts w:ascii="Times New Roman" w:hAnsi="Times New Roman" w:cs="Times New Roman"/>
        </w:rPr>
        <w:t>0日历天，安装调试期</w:t>
      </w:r>
      <w:r>
        <w:rPr>
          <w:rFonts w:hint="eastAsia" w:ascii="Times New Roman" w:hAnsi="Times New Roman" w:cs="Times New Roman"/>
        </w:rPr>
        <w:t>约</w:t>
      </w:r>
      <w:r>
        <w:rPr>
          <w:rFonts w:ascii="Times New Roman" w:hAnsi="Times New Roman" w:cs="Times New Roman"/>
        </w:rPr>
        <w:t>为70日历天。具体时间</w:t>
      </w:r>
      <w:r>
        <w:rPr>
          <w:rFonts w:hint="eastAsia" w:ascii="Times New Roman" w:hAnsi="Times New Roman" w:cs="Times New Roman"/>
        </w:rPr>
        <w:t>按合同执行</w:t>
      </w:r>
      <w:r>
        <w:rPr>
          <w:rFonts w:ascii="Times New Roman" w:hAnsi="Times New Roman" w:cs="Times New Roman"/>
        </w:rPr>
        <w:t>。</w:t>
      </w:r>
    </w:p>
    <w:p w14:paraId="3A2EA688">
      <w:pPr>
        <w:pStyle w:val="4"/>
        <w:rPr>
          <w:rFonts w:hint="eastAsia"/>
        </w:rPr>
      </w:pPr>
      <w:bookmarkStart w:id="329" w:name="_Toc11998"/>
      <w:bookmarkStart w:id="330" w:name="_Toc8712"/>
      <w:bookmarkStart w:id="331" w:name="_Toc186389205"/>
      <w:bookmarkStart w:id="332" w:name="_Toc186452651"/>
      <w:r>
        <w:t>施工进度计划</w:t>
      </w:r>
      <w:bookmarkEnd w:id="329"/>
      <w:bookmarkEnd w:id="330"/>
      <w:bookmarkEnd w:id="331"/>
      <w:bookmarkEnd w:id="332"/>
    </w:p>
    <w:p w14:paraId="1AC04237">
      <w:pPr>
        <w:ind w:firstLine="480"/>
        <w:rPr>
          <w:rFonts w:ascii="Times New Roman" w:hAnsi="Times New Roman" w:cs="Times New Roman"/>
        </w:rPr>
      </w:pPr>
      <w:r>
        <w:rPr>
          <w:rFonts w:ascii="Times New Roman" w:hAnsi="Times New Roman" w:cs="Times New Roman"/>
        </w:rPr>
        <w:t>本项目施工进度计划满足招标文件要求的进度整体目标，在施工进度安排上，本着“时间服从质量”原则，合理安排工期，所有设备均在厂内完成初步的组装，在现场只需固定安装单机设备，再进行电气连接并试机；到现场的安装工作为争取时间缩短工期，我们拟派出25-30人同时施工。安装完毕最后的调试工作采用负载试车调试各部定位准确后联动空载负载试运转的方式。</w:t>
      </w:r>
      <w:bookmarkStart w:id="333" w:name="_Toc29890"/>
      <w:bookmarkStart w:id="334" w:name="_Toc186389206"/>
      <w:bookmarkStart w:id="335" w:name="_Toc31363"/>
    </w:p>
    <w:p w14:paraId="5CDFB5A7">
      <w:pPr>
        <w:pStyle w:val="4"/>
        <w:rPr>
          <w:rFonts w:hint="eastAsia"/>
        </w:rPr>
      </w:pPr>
      <w:bookmarkStart w:id="336" w:name="_Toc186452652"/>
      <w:r>
        <w:t>进度管理方法措施</w:t>
      </w:r>
      <w:bookmarkEnd w:id="333"/>
      <w:bookmarkEnd w:id="334"/>
      <w:bookmarkEnd w:id="335"/>
      <w:bookmarkEnd w:id="336"/>
    </w:p>
    <w:p w14:paraId="0D48BC43">
      <w:pPr>
        <w:ind w:firstLine="0" w:firstLineChars="0"/>
        <w:rPr>
          <w:rFonts w:ascii="Times New Roman" w:hAnsi="Times New Roman" w:cs="Times New Roman"/>
          <w:lang w:val="en-GB"/>
        </w:rPr>
      </w:pPr>
      <w:r>
        <w:rPr>
          <w:rFonts w:ascii="Times New Roman" w:hAnsi="Times New Roman" w:cs="Times New Roman"/>
          <w:lang w:val="en-GB"/>
        </w:rPr>
        <w:t>为保证工程按期完工，采取以下控制措施：</w:t>
      </w:r>
    </w:p>
    <w:p w14:paraId="3A6AFBBB">
      <w:pPr>
        <w:ind w:firstLine="0" w:firstLineChars="0"/>
        <w:rPr>
          <w:rFonts w:ascii="Times New Roman" w:hAnsi="Times New Roman" w:cs="Times New Roman"/>
          <w:lang w:val="en-GB"/>
        </w:rPr>
      </w:pPr>
      <w:r>
        <w:rPr>
          <w:rFonts w:ascii="Times New Roman" w:hAnsi="Times New Roman" w:cs="Times New Roman"/>
          <w:lang w:val="en-GB"/>
        </w:rPr>
        <w:t>1.加快施工进度，按期完成任务。接到业主可施工的通知后，迅速组织人员进入现场，确保工程按时开工。</w:t>
      </w:r>
    </w:p>
    <w:p w14:paraId="354800E9">
      <w:pPr>
        <w:ind w:firstLine="0" w:firstLineChars="0"/>
        <w:rPr>
          <w:rFonts w:ascii="Times New Roman" w:hAnsi="Times New Roman" w:cs="Times New Roman"/>
          <w:lang w:val="en-GB"/>
        </w:rPr>
      </w:pPr>
      <w:r>
        <w:rPr>
          <w:rFonts w:ascii="Times New Roman" w:hAnsi="Times New Roman" w:cs="Times New Roman"/>
          <w:lang w:val="en-GB"/>
        </w:rPr>
        <w:t>2.科学组织、认真研究制定施工计划，合理安排各工序的施工，做到施工主次分明，安排计划留有余地，随时掌握情况，发现问题及时采取措施，适当调整，确保施工顺利进行。</w:t>
      </w:r>
    </w:p>
    <w:p w14:paraId="2657CB87">
      <w:pPr>
        <w:ind w:firstLine="0" w:firstLineChars="0"/>
        <w:rPr>
          <w:rFonts w:ascii="Times New Roman" w:hAnsi="Times New Roman" w:cs="Times New Roman"/>
          <w:lang w:val="en-GB"/>
        </w:rPr>
      </w:pPr>
      <w:r>
        <w:rPr>
          <w:rFonts w:ascii="Times New Roman" w:hAnsi="Times New Roman" w:cs="Times New Roman"/>
          <w:lang w:val="en-GB"/>
        </w:rPr>
        <w:t>3.本工程实行项目经理制，该制度可充分调动各部门的积极性，作到措施落实，后方保障有力，才能确保工期按期完成。</w:t>
      </w:r>
    </w:p>
    <w:p w14:paraId="1127CE91">
      <w:pPr>
        <w:ind w:firstLine="0" w:firstLineChars="0"/>
        <w:rPr>
          <w:rFonts w:ascii="Times New Roman" w:hAnsi="Times New Roman" w:cs="Times New Roman"/>
          <w:lang w:val="en-GB"/>
        </w:rPr>
      </w:pPr>
      <w:r>
        <w:rPr>
          <w:rFonts w:ascii="Times New Roman" w:hAnsi="Times New Roman" w:cs="Times New Roman"/>
          <w:lang w:val="en-GB"/>
        </w:rPr>
        <w:t>现场项目经理具体负责组织施工现场的工作，充分发挥现场施工人员的积极性作到措施落实，确保质量、工期等目标的圆满完成。</w:t>
      </w:r>
    </w:p>
    <w:p w14:paraId="3F2C3FF5">
      <w:pPr>
        <w:pStyle w:val="3"/>
        <w:rPr>
          <w:rFonts w:ascii="Times New Roman" w:hAnsi="Times New Roman"/>
        </w:rPr>
      </w:pPr>
      <w:bookmarkStart w:id="337" w:name="_Toc186452653"/>
      <w:bookmarkStart w:id="338" w:name="_Toc29507"/>
      <w:bookmarkStart w:id="339" w:name="_Toc27955"/>
      <w:bookmarkStart w:id="340" w:name="_Toc186389207"/>
      <w:bookmarkStart w:id="341" w:name="_Toc169560681"/>
      <w:r>
        <w:rPr>
          <w:rFonts w:ascii="Times New Roman" w:hAnsi="Times New Roman"/>
        </w:rPr>
        <w:t>进度计划保障措施</w:t>
      </w:r>
      <w:bookmarkEnd w:id="337"/>
      <w:bookmarkEnd w:id="338"/>
      <w:bookmarkEnd w:id="339"/>
      <w:bookmarkEnd w:id="340"/>
      <w:bookmarkEnd w:id="341"/>
    </w:p>
    <w:p w14:paraId="1F9E6516">
      <w:pPr>
        <w:ind w:firstLine="0" w:firstLineChars="0"/>
        <w:rPr>
          <w:rFonts w:ascii="Times New Roman" w:hAnsi="Times New Roman" w:cs="Times New Roman"/>
          <w:lang w:val="en-GB"/>
        </w:rPr>
      </w:pPr>
      <w:r>
        <w:rPr>
          <w:rFonts w:ascii="Times New Roman" w:hAnsi="Times New Roman" w:cs="Times New Roman"/>
          <w:lang w:val="en-GB"/>
        </w:rPr>
        <w:t>为保证工程按期完工，采取以下控制措施：</w:t>
      </w:r>
    </w:p>
    <w:p w14:paraId="1A98B09F">
      <w:pPr>
        <w:pStyle w:val="20"/>
        <w:numPr>
          <w:ilvl w:val="0"/>
          <w:numId w:val="8"/>
        </w:numPr>
        <w:ind w:left="0" w:firstLine="0" w:firstLineChars="0"/>
        <w:rPr>
          <w:rFonts w:ascii="Times New Roman" w:hAnsi="Times New Roman" w:cs="Times New Roman"/>
          <w:lang w:val="en-GB"/>
        </w:rPr>
      </w:pPr>
      <w:r>
        <w:rPr>
          <w:rFonts w:ascii="Times New Roman" w:hAnsi="Times New Roman" w:cs="Times New Roman"/>
          <w:lang w:val="en-GB"/>
        </w:rPr>
        <w:t>加快施工进度，按期完成任务。接到业主可施工的通知后，迅速组织人员进入现场，确保工程按时开工。</w:t>
      </w:r>
    </w:p>
    <w:p w14:paraId="6EBC7D01">
      <w:pPr>
        <w:pStyle w:val="20"/>
        <w:numPr>
          <w:ilvl w:val="0"/>
          <w:numId w:val="8"/>
        </w:numPr>
        <w:ind w:left="0" w:firstLine="0" w:firstLineChars="0"/>
        <w:rPr>
          <w:rFonts w:ascii="Times New Roman" w:hAnsi="Times New Roman" w:cs="Times New Roman"/>
          <w:lang w:val="en-GB"/>
        </w:rPr>
      </w:pPr>
      <w:r>
        <w:rPr>
          <w:rFonts w:ascii="Times New Roman" w:hAnsi="Times New Roman" w:cs="Times New Roman"/>
          <w:lang w:val="en-GB"/>
        </w:rPr>
        <w:t>科学组织、认真研究制定施工计划，合理安排各工序的施工，做到施工主次分明，安排计划留有余地，随时掌握情况，发现问题及时采取措施，适当调整，确保施工顺利进行。</w:t>
      </w:r>
    </w:p>
    <w:p w14:paraId="501486E0">
      <w:pPr>
        <w:pStyle w:val="20"/>
        <w:numPr>
          <w:ilvl w:val="0"/>
          <w:numId w:val="8"/>
        </w:numPr>
        <w:ind w:left="0" w:firstLine="0" w:firstLineChars="0"/>
        <w:rPr>
          <w:rFonts w:ascii="Times New Roman" w:hAnsi="Times New Roman" w:cs="Times New Roman"/>
          <w:lang w:val="en-GB"/>
        </w:rPr>
      </w:pPr>
      <w:r>
        <w:rPr>
          <w:rFonts w:ascii="Times New Roman" w:hAnsi="Times New Roman" w:cs="Times New Roman"/>
          <w:lang w:val="en-GB"/>
        </w:rPr>
        <w:t>本工程实行项目经理制，该制度可充分调动各部门的积极性，作到措施落实，后方保障有力，才能确保工期按期完成。</w:t>
      </w:r>
    </w:p>
    <w:p w14:paraId="3E870E6D">
      <w:pPr>
        <w:ind w:firstLine="0" w:firstLineChars="0"/>
        <w:rPr>
          <w:rFonts w:ascii="Times New Roman" w:hAnsi="Times New Roman" w:cs="Times New Roman"/>
          <w:lang w:val="en-GB"/>
        </w:rPr>
      </w:pPr>
      <w:r>
        <w:rPr>
          <w:rFonts w:ascii="Times New Roman" w:hAnsi="Times New Roman" w:cs="Times New Roman"/>
          <w:lang w:val="en-GB"/>
        </w:rPr>
        <w:t>项目经理具体负责组织施工现场的工作，充分发挥现场施工人员的积极性作到措施落实，确保质量、工期等目标的圆满完成。</w:t>
      </w:r>
    </w:p>
    <w:p w14:paraId="5E413746">
      <w:pPr>
        <w:pStyle w:val="3"/>
        <w:rPr>
          <w:rFonts w:ascii="Times New Roman" w:hAnsi="Times New Roman"/>
        </w:rPr>
      </w:pPr>
      <w:bookmarkStart w:id="342" w:name="_Toc169560682"/>
      <w:bookmarkStart w:id="343" w:name="_Toc29240"/>
      <w:bookmarkStart w:id="344" w:name="_Toc186389208"/>
      <w:bookmarkStart w:id="345" w:name="_Toc12708"/>
      <w:bookmarkStart w:id="346" w:name="_Toc186452654"/>
      <w:r>
        <w:rPr>
          <w:rFonts w:ascii="Times New Roman" w:hAnsi="Times New Roman"/>
        </w:rPr>
        <w:t>文明施工方案</w:t>
      </w:r>
      <w:bookmarkEnd w:id="342"/>
      <w:bookmarkEnd w:id="343"/>
      <w:bookmarkEnd w:id="344"/>
      <w:bookmarkEnd w:id="345"/>
      <w:bookmarkEnd w:id="346"/>
    </w:p>
    <w:p w14:paraId="06F263CE">
      <w:pPr>
        <w:ind w:firstLine="480"/>
        <w:rPr>
          <w:szCs w:val="24"/>
        </w:rPr>
      </w:pPr>
      <w:r>
        <w:rPr>
          <w:szCs w:val="24"/>
        </w:rPr>
        <w:t>安全方案包括软件安全防护方案和设备安装安全防护方案两部分：</w:t>
      </w:r>
    </w:p>
    <w:p w14:paraId="1BEB947B">
      <w:pPr>
        <w:ind w:firstLine="480"/>
        <w:rPr>
          <w:szCs w:val="24"/>
        </w:rPr>
      </w:pPr>
      <w:r>
        <w:rPr>
          <w:szCs w:val="24"/>
        </w:rPr>
        <w:t>软件安全防护方案包括软件质量安全方案（软件渗透测试、代码安全测试等）和软件边界防护方案等。</w:t>
      </w:r>
    </w:p>
    <w:p w14:paraId="37ABE077">
      <w:pPr>
        <w:ind w:firstLine="480"/>
        <w:rPr>
          <w:szCs w:val="24"/>
        </w:rPr>
      </w:pPr>
      <w:r>
        <w:rPr>
          <w:szCs w:val="24"/>
        </w:rPr>
        <w:t>针对项目整体的安全方案我司采用如下方案执行：</w:t>
      </w:r>
    </w:p>
    <w:p w14:paraId="57CF0E65">
      <w:pPr>
        <w:ind w:firstLine="480"/>
        <w:rPr>
          <w:szCs w:val="24"/>
        </w:rPr>
      </w:pPr>
      <w:r>
        <w:rPr>
          <w:szCs w:val="24"/>
        </w:rPr>
        <w:t>建立以项目经理为首的文明施工领导小组兼安全领导小组，落实文明施工及安全施工的目标责任制，制定文明安全施工保证措施，从宣传、教育、监督、检查、管理几个方面入手，全面开展“安全、标准、文明”工地建设。</w:t>
      </w:r>
    </w:p>
    <w:p w14:paraId="3D681860">
      <w:pPr>
        <w:pStyle w:val="4"/>
        <w:rPr>
          <w:rFonts w:hint="eastAsia"/>
        </w:rPr>
      </w:pPr>
      <w:bookmarkStart w:id="347" w:name="_Toc186389209"/>
      <w:bookmarkStart w:id="348" w:name="_Toc29214"/>
      <w:bookmarkStart w:id="349" w:name="_Toc12036"/>
      <w:bookmarkStart w:id="350" w:name="_Toc186452655"/>
      <w:r>
        <w:t>文明施工考核办法</w:t>
      </w:r>
      <w:bookmarkEnd w:id="347"/>
      <w:bookmarkEnd w:id="348"/>
      <w:bookmarkEnd w:id="349"/>
      <w:bookmarkEnd w:id="350"/>
    </w:p>
    <w:p w14:paraId="5D7BF2FD">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项目部将结合工程的具体情况，制订出各项文明施工措施。</w:t>
      </w:r>
    </w:p>
    <w:p w14:paraId="7725C520">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项目部将负责施工区域及生活区域的环境卫生，建立完善的规章制度，落实责任制，做到设施齐全，符合规范要求。</w:t>
      </w:r>
    </w:p>
    <w:p w14:paraId="7F084812">
      <w:pPr>
        <w:pStyle w:val="4"/>
        <w:rPr>
          <w:rFonts w:hint="eastAsia"/>
        </w:rPr>
      </w:pPr>
      <w:bookmarkStart w:id="351" w:name="_Toc6856"/>
      <w:bookmarkStart w:id="352" w:name="_Toc186389210"/>
      <w:bookmarkStart w:id="353" w:name="_Toc186452656"/>
      <w:bookmarkStart w:id="354" w:name="_Toc4860"/>
      <w:r>
        <w:t>文明施工保障措施</w:t>
      </w:r>
      <w:bookmarkEnd w:id="351"/>
      <w:bookmarkEnd w:id="352"/>
      <w:bookmarkEnd w:id="353"/>
      <w:bookmarkEnd w:id="354"/>
    </w:p>
    <w:p w14:paraId="7BC1C6A8">
      <w:pPr>
        <w:ind w:firstLine="0" w:firstLineChars="0"/>
        <w:rPr>
          <w:rFonts w:ascii="Times New Roman" w:hAnsi="Times New Roman" w:cs="Times New Roman"/>
          <w:lang w:val="en-GB"/>
        </w:rPr>
      </w:pPr>
      <w:r>
        <w:rPr>
          <w:rFonts w:ascii="Times New Roman" w:hAnsi="Times New Roman" w:cs="Times New Roman"/>
          <w:lang w:val="en-GB"/>
        </w:rPr>
        <w:t>1．按建设部《建设工程施工现场管理规定》的要求，进行施工现场管理工作，做到施工现场整洁有序、工完场清。</w:t>
      </w:r>
    </w:p>
    <w:p w14:paraId="53EF1F6E">
      <w:pPr>
        <w:ind w:firstLine="0" w:firstLineChars="0"/>
        <w:rPr>
          <w:rFonts w:ascii="Times New Roman" w:hAnsi="Times New Roman" w:cs="Times New Roman"/>
          <w:lang w:val="en-GB"/>
        </w:rPr>
      </w:pPr>
      <w:r>
        <w:rPr>
          <w:rFonts w:ascii="Times New Roman" w:hAnsi="Times New Roman" w:cs="Times New Roman"/>
          <w:lang w:val="en-GB"/>
        </w:rPr>
        <w:t>2．充分尊重建设、设计和监理单位的意见，认真贯彻执行</w:t>
      </w:r>
    </w:p>
    <w:p w14:paraId="1795974E">
      <w:pPr>
        <w:ind w:firstLine="0" w:firstLineChars="0"/>
        <w:rPr>
          <w:rFonts w:ascii="Times New Roman" w:hAnsi="Times New Roman" w:cs="Times New Roman"/>
          <w:lang w:val="en-GB"/>
        </w:rPr>
      </w:pPr>
      <w:r>
        <w:rPr>
          <w:rFonts w:ascii="Times New Roman" w:hAnsi="Times New Roman" w:cs="Times New Roman"/>
          <w:lang w:val="en-GB"/>
        </w:rPr>
        <w:t>3．施工开始前，由项目经理部组织经理部各部门的负责人，对承担本工程前期施工的有关单位及前期工程情况进行走访和调查，了解前期施工单位对成品及半成品保护的意见、要求和前期工程的具体情况。确定本工程施工的成品及半成品保护的重点。采取有效措施做好成品及半成品保护工作。</w:t>
      </w:r>
    </w:p>
    <w:p w14:paraId="60DA44BB">
      <w:pPr>
        <w:ind w:firstLine="0" w:firstLineChars="0"/>
        <w:rPr>
          <w:rFonts w:ascii="Times New Roman" w:hAnsi="Times New Roman" w:cs="Times New Roman"/>
          <w:lang w:val="en-GB"/>
        </w:rPr>
      </w:pPr>
      <w:r>
        <w:rPr>
          <w:rFonts w:ascii="Times New Roman" w:hAnsi="Times New Roman" w:cs="Times New Roman"/>
          <w:lang w:val="en-GB"/>
        </w:rPr>
        <w:t>4．施工现场必须按规定要求设置施工铭牌，所有施工管理、作业人员应配带胸卡上岗。</w:t>
      </w:r>
    </w:p>
    <w:p w14:paraId="308B9905">
      <w:pPr>
        <w:ind w:firstLine="0" w:firstLineChars="0"/>
        <w:rPr>
          <w:rFonts w:ascii="Times New Roman" w:hAnsi="Times New Roman" w:cs="Times New Roman"/>
          <w:lang w:val="en-GB"/>
        </w:rPr>
      </w:pPr>
      <w:r>
        <w:rPr>
          <w:rFonts w:ascii="Times New Roman" w:hAnsi="Times New Roman" w:cs="Times New Roman"/>
          <w:lang w:val="en-GB"/>
        </w:rPr>
        <w:t>5．施工区域和非施工区域必须按规定设置分隔设置，并做到连续、稳固、整洁、美观和线型和顺。施工区域的围护如有损坏及时修复。</w:t>
      </w:r>
    </w:p>
    <w:p w14:paraId="767A1B8C">
      <w:pPr>
        <w:ind w:firstLine="0" w:firstLineChars="0"/>
        <w:rPr>
          <w:rFonts w:ascii="Times New Roman" w:hAnsi="Times New Roman" w:cs="Times New Roman"/>
          <w:lang w:val="en-GB"/>
        </w:rPr>
      </w:pPr>
      <w:r>
        <w:rPr>
          <w:rFonts w:ascii="Times New Roman" w:hAnsi="Times New Roman" w:cs="Times New Roman"/>
          <w:lang w:val="en-GB"/>
        </w:rPr>
        <w:t>6．施工现场平面布置合理，各类材料、设备、预件等做到有序堆放，不得侵占车行道、人行道。施工中要加强对各种地下管线的保护。</w:t>
      </w:r>
    </w:p>
    <w:p w14:paraId="457FB5AE">
      <w:pPr>
        <w:ind w:firstLine="0" w:firstLineChars="0"/>
        <w:rPr>
          <w:rFonts w:ascii="Times New Roman" w:hAnsi="Times New Roman" w:cs="Times New Roman"/>
          <w:lang w:val="en-GB"/>
        </w:rPr>
      </w:pPr>
      <w:r>
        <w:rPr>
          <w:rFonts w:ascii="Times New Roman" w:hAnsi="Times New Roman" w:cs="Times New Roman"/>
          <w:lang w:val="en-GB"/>
        </w:rPr>
        <w:t>7．严格按照编制的成品保护方案进行施工，认真做好成品保护工作，使我项目部施工对前期工程成品的影响降到最低程度。</w:t>
      </w:r>
    </w:p>
    <w:p w14:paraId="4F69BCBC">
      <w:pPr>
        <w:ind w:firstLine="0" w:firstLineChars="0"/>
        <w:rPr>
          <w:rFonts w:ascii="Times New Roman" w:hAnsi="Times New Roman" w:cs="Times New Roman"/>
          <w:lang w:val="en-GB"/>
        </w:rPr>
      </w:pPr>
      <w:r>
        <w:rPr>
          <w:rFonts w:ascii="Times New Roman" w:hAnsi="Times New Roman" w:cs="Times New Roman"/>
          <w:lang w:val="en-GB"/>
        </w:rPr>
        <w:t>8．要随时配合甲方对工程质量的检查，始终坚持甲方对任何过程和部件的检查都是合理的，工程技术人员要予以积极配合，并虚心接受甲方的指导。</w:t>
      </w:r>
    </w:p>
    <w:p w14:paraId="267A610C">
      <w:pPr>
        <w:ind w:firstLine="0" w:firstLineChars="0"/>
        <w:rPr>
          <w:rFonts w:ascii="Times New Roman" w:hAnsi="Times New Roman" w:cs="Times New Roman"/>
          <w:lang w:val="en-GB"/>
        </w:rPr>
      </w:pPr>
      <w:r>
        <w:rPr>
          <w:rFonts w:ascii="Times New Roman" w:hAnsi="Times New Roman" w:cs="Times New Roman"/>
          <w:lang w:val="en-GB"/>
        </w:rPr>
        <w:t>9．在建设单位的统一领导下，与同期施工单位和前期施工单位建立密切的协作关系，互相配合、互相支持，为创施工文明线和优质工程线做出最大努力。</w:t>
      </w:r>
    </w:p>
    <w:p w14:paraId="3FE9E0A7">
      <w:pPr>
        <w:ind w:firstLine="0" w:firstLineChars="0"/>
        <w:rPr>
          <w:rFonts w:ascii="Times New Roman" w:hAnsi="Times New Roman" w:cs="Times New Roman"/>
          <w:lang w:val="en-GB"/>
        </w:rPr>
      </w:pPr>
      <w:r>
        <w:rPr>
          <w:rFonts w:ascii="Times New Roman" w:hAnsi="Times New Roman" w:cs="Times New Roman"/>
          <w:lang w:val="en-GB"/>
        </w:rPr>
        <w:t>10．开展文明竞赛活动，提倡文明用语；充分发挥爱国卫生运动委员的作用，广泛进行环境卫生知识宣传，提高全体职工环境卫生意识，养成良好的卫生习惯。定期进行卫生大扫除，保持良好的生活环境。定期对区域性和流行性病疫进行调查，及是采取卫生防疫措施。</w:t>
      </w:r>
    </w:p>
    <w:p w14:paraId="0A5C319A">
      <w:pPr>
        <w:ind w:firstLine="0" w:firstLineChars="0"/>
        <w:rPr>
          <w:rFonts w:ascii="Times New Roman" w:hAnsi="Times New Roman" w:cs="Times New Roman"/>
          <w:lang w:val="en-GB"/>
        </w:rPr>
      </w:pPr>
      <w:r>
        <w:rPr>
          <w:rFonts w:ascii="Times New Roman" w:hAnsi="Times New Roman" w:cs="Times New Roman"/>
          <w:lang w:val="en-GB"/>
        </w:rPr>
        <w:t>11．施工料具、设备分类堆放整齐，作业场地清洁整齐，井然有序，作业完毕要对现场进行清理；各种办公资料记录齐全，装订整齐，文整良好。</w:t>
      </w:r>
    </w:p>
    <w:p w14:paraId="0DE786A3">
      <w:pPr>
        <w:ind w:firstLine="0" w:firstLineChars="0"/>
        <w:rPr>
          <w:rFonts w:ascii="Times New Roman" w:hAnsi="Times New Roman" w:cs="Times New Roman"/>
          <w:lang w:val="en-GB"/>
        </w:rPr>
      </w:pPr>
      <w:r>
        <w:rPr>
          <w:rFonts w:ascii="Times New Roman" w:hAnsi="Times New Roman" w:cs="Times New Roman"/>
          <w:lang w:val="en-GB"/>
        </w:rPr>
        <w:t>12．密切与监理、接管单位的关系，发现问题及时解决，做到互谅互让，以礼相待，举止文明。</w:t>
      </w:r>
    </w:p>
    <w:p w14:paraId="0624DCB5">
      <w:pPr>
        <w:pStyle w:val="3"/>
        <w:rPr>
          <w:rFonts w:ascii="Times New Roman" w:hAnsi="Times New Roman"/>
        </w:rPr>
      </w:pPr>
      <w:bookmarkStart w:id="355" w:name="_Toc9820"/>
      <w:bookmarkStart w:id="356" w:name="_Toc186452657"/>
      <w:bookmarkStart w:id="357" w:name="_Toc17285"/>
      <w:bookmarkStart w:id="358" w:name="_Toc169560683"/>
      <w:bookmarkStart w:id="359" w:name="_Toc186389211"/>
      <w:r>
        <w:rPr>
          <w:rFonts w:ascii="Times New Roman" w:hAnsi="Times New Roman"/>
        </w:rPr>
        <w:t>安全施工保障体系</w:t>
      </w:r>
      <w:bookmarkEnd w:id="355"/>
      <w:bookmarkEnd w:id="356"/>
      <w:bookmarkEnd w:id="357"/>
      <w:bookmarkEnd w:id="358"/>
      <w:bookmarkEnd w:id="359"/>
    </w:p>
    <w:p w14:paraId="4F33B5CA">
      <w:pPr>
        <w:ind w:firstLine="0" w:firstLineChars="0"/>
        <w:rPr>
          <w:rFonts w:ascii="Times New Roman" w:hAnsi="Times New Roman" w:cs="Times New Roman"/>
          <w:lang w:val="en-GB"/>
        </w:rPr>
      </w:pPr>
      <w:r>
        <w:rPr>
          <w:rFonts w:ascii="Times New Roman" w:hAnsi="Times New Roman" w:cs="Times New Roman"/>
          <w:lang w:val="en-GB"/>
        </w:rPr>
        <w:t>1．安全体系职责及安全生产责任制</w:t>
      </w:r>
    </w:p>
    <w:p w14:paraId="0DD1DC67">
      <w:pPr>
        <w:ind w:firstLine="0" w:firstLineChars="0"/>
        <w:rPr>
          <w:rFonts w:ascii="Times New Roman" w:hAnsi="Times New Roman" w:cs="Times New Roman"/>
          <w:lang w:val="en-GB"/>
        </w:rPr>
      </w:pPr>
      <w:r>
        <w:rPr>
          <w:rFonts w:ascii="Times New Roman" w:hAnsi="Times New Roman" w:cs="Times New Roman"/>
          <w:lang w:val="en-GB"/>
        </w:rPr>
        <w:t>1）安全体系职责</w:t>
      </w:r>
    </w:p>
    <w:p w14:paraId="470122F9">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建立安全领导小组，项目经理为组长，全面负责工程的安全责任事务，领导各安全职员工作。</w:t>
      </w:r>
    </w:p>
    <w:p w14:paraId="11A79635">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专职安全，负责具体安全管理事务，直接向项目经理负责。</w:t>
      </w:r>
    </w:p>
    <w:p w14:paraId="653A2A5F">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各班组长兼职安全员，配合专职安全员的工作，主要处理本班组的日常安全事务。</w:t>
      </w:r>
    </w:p>
    <w:p w14:paraId="0378646B">
      <w:pPr>
        <w:ind w:firstLine="0" w:firstLineChars="0"/>
        <w:rPr>
          <w:rFonts w:ascii="Times New Roman" w:hAnsi="Times New Roman" w:cs="Times New Roman"/>
          <w:lang w:val="en-GB"/>
        </w:rPr>
      </w:pPr>
      <w:r>
        <w:rPr>
          <w:rFonts w:ascii="Times New Roman" w:hAnsi="Times New Roman" w:cs="Times New Roman"/>
          <w:lang w:val="en-GB"/>
        </w:rPr>
        <w:t>2）安全生产责任制</w:t>
      </w:r>
    </w:p>
    <w:p w14:paraId="3CB1118C">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制定安全生产责任制，明确各级人员应承担的安全职责，做到安全生产人人负责。</w:t>
      </w:r>
    </w:p>
    <w:p w14:paraId="6FFAF5EF">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安全技术措施管理制度，严格按安全规范执行，只要存在不安全因素，决不允许施工作业，做到安全一票否决。</w:t>
      </w:r>
    </w:p>
    <w:p w14:paraId="09B9B602">
      <w:pPr>
        <w:keepNext/>
        <w:ind w:firstLine="0" w:firstLineChars="0"/>
        <w:jc w:val="center"/>
        <w:rPr>
          <w:rFonts w:ascii="Times New Roman" w:hAnsi="Times New Roman" w:cs="Times New Roman"/>
        </w:rPr>
      </w:pPr>
      <w:r>
        <w:rPr>
          <w:rFonts w:ascii="Times New Roman" w:hAnsi="Times New Roman" w:cs="Times New Roman"/>
          <w:lang w:val="en-GB"/>
        </w:rPr>
        <w:t xml:space="preserve">2．安全保证体系框  </w:t>
      </w:r>
      <w:r>
        <w:rPr>
          <w:rFonts w:ascii="Times New Roman" w:hAnsi="Times New Roman" w:cs="Times New Roman"/>
        </w:rPr>
        <w:object>
          <v:shape id="_x0000_i1025" o:spt="75" type="#_x0000_t75" style="height:258pt;width:367.5pt;" o:ole="t" filled="f" o:preferrelative="t" stroked="f" coordsize="21600,21600">
            <v:path/>
            <v:fill on="f" focussize="0,0"/>
            <v:stroke on="f" joinstyle="miter"/>
            <v:imagedata r:id="rId26" o:title=""/>
            <o:lock v:ext="edit" aspectratio="t"/>
            <w10:wrap type="none"/>
            <w10:anchorlock/>
          </v:shape>
          <o:OLEObject Type="Embed" ProgID="VisioViewer.Viewer.1" ShapeID="_x0000_i1025" DrawAspect="Content" ObjectID="_1468075725" r:id="rId25">
            <o:LockedField>false</o:LockedField>
          </o:OLEObject>
        </w:object>
      </w:r>
    </w:p>
    <w:p w14:paraId="348818A9">
      <w:pPr>
        <w:pStyle w:val="5"/>
        <w:ind w:firstLine="0" w:firstLineChars="0"/>
        <w:jc w:val="center"/>
        <w:rPr>
          <w:rFonts w:ascii="Times New Roman" w:hAnsi="Times New Roman" w:cs="Times New Roman"/>
        </w:rPr>
      </w:pPr>
      <w:r>
        <w:rPr>
          <w:rFonts w:ascii="Times New Roman" w:hAnsi="Times New Roman" w:cs="Times New Roman"/>
        </w:rPr>
        <w:t>安全体系架构</w:t>
      </w:r>
    </w:p>
    <w:p w14:paraId="6426CC21">
      <w:pPr>
        <w:pStyle w:val="4"/>
        <w:rPr>
          <w:rFonts w:hint="eastAsia"/>
        </w:rPr>
      </w:pPr>
      <w:bookmarkStart w:id="360" w:name="_Toc186389212"/>
      <w:bookmarkStart w:id="361" w:name="_Toc17216"/>
      <w:bookmarkStart w:id="362" w:name="_Toc32289"/>
      <w:bookmarkStart w:id="363" w:name="_Toc186452658"/>
      <w:r>
        <w:t>用电安全保障措施</w:t>
      </w:r>
      <w:bookmarkEnd w:id="360"/>
      <w:bookmarkEnd w:id="361"/>
      <w:bookmarkEnd w:id="362"/>
      <w:bookmarkEnd w:id="363"/>
    </w:p>
    <w:p w14:paraId="3F720BCB">
      <w:pPr>
        <w:ind w:firstLine="0" w:firstLineChars="0"/>
        <w:rPr>
          <w:rFonts w:ascii="Times New Roman" w:hAnsi="Times New Roman" w:cs="Times New Roman"/>
          <w:lang w:val="en-GB"/>
        </w:rPr>
      </w:pPr>
      <w:r>
        <w:rPr>
          <w:rFonts w:ascii="Times New Roman" w:hAnsi="Times New Roman" w:cs="Times New Roman"/>
          <w:lang w:val="en-GB"/>
        </w:rPr>
        <w:t>1.单位工程施工临时用电必需配备经市安全用电知识培训考核合格的专职电工上岗值班，严禁带电作业及无证人员顶岗。</w:t>
      </w:r>
    </w:p>
    <w:p w14:paraId="153B439D">
      <w:pPr>
        <w:ind w:firstLine="0" w:firstLineChars="0"/>
        <w:rPr>
          <w:rFonts w:ascii="Times New Roman" w:hAnsi="Times New Roman" w:cs="Times New Roman"/>
          <w:lang w:val="en-GB"/>
        </w:rPr>
      </w:pPr>
      <w:r>
        <w:rPr>
          <w:rFonts w:ascii="Times New Roman" w:hAnsi="Times New Roman" w:cs="Times New Roman"/>
          <w:lang w:val="en-GB"/>
        </w:rPr>
        <w:t>2.单位工程临时用电必须严格按《JG46-88》进行实施，遵循临时用电施工组织设计有关项目进行电器选配、平面布置、安装检测，按要求安装验收合格后投入生产。</w:t>
      </w:r>
    </w:p>
    <w:p w14:paraId="1D9DA1D9">
      <w:pPr>
        <w:ind w:firstLine="0" w:firstLineChars="0"/>
        <w:rPr>
          <w:rFonts w:ascii="Times New Roman" w:hAnsi="Times New Roman" w:cs="Times New Roman"/>
          <w:lang w:val="en-GB"/>
        </w:rPr>
      </w:pPr>
      <w:r>
        <w:rPr>
          <w:rFonts w:ascii="Times New Roman" w:hAnsi="Times New Roman" w:cs="Times New Roman"/>
          <w:lang w:val="en-GB"/>
        </w:rPr>
        <w:t>3.采用三相五线保护接零TN-S 系统，具有专用保护零线路。</w:t>
      </w:r>
    </w:p>
    <w:p w14:paraId="4356C412">
      <w:pPr>
        <w:ind w:firstLine="0" w:firstLineChars="0"/>
        <w:rPr>
          <w:rFonts w:ascii="Times New Roman" w:hAnsi="Times New Roman" w:cs="Times New Roman"/>
          <w:lang w:val="en-GB"/>
        </w:rPr>
      </w:pPr>
      <w:r>
        <w:rPr>
          <w:rFonts w:ascii="Times New Roman" w:hAnsi="Times New Roman" w:cs="Times New Roman"/>
          <w:lang w:val="en-GB"/>
        </w:rPr>
        <w:t>4.在任何情况下，任何人员不得乱拉乱接电线，接线端或裸导线是否带电应用验电设备，不是机电人员不得操作，不得用手来鉴定电线。</w:t>
      </w:r>
    </w:p>
    <w:p w14:paraId="72ACAFE4">
      <w:pPr>
        <w:ind w:firstLine="0" w:firstLineChars="0"/>
        <w:rPr>
          <w:rFonts w:ascii="Times New Roman" w:hAnsi="Times New Roman" w:cs="Times New Roman"/>
          <w:lang w:val="en-GB"/>
        </w:rPr>
      </w:pPr>
      <w:r>
        <w:rPr>
          <w:rFonts w:ascii="Times New Roman" w:hAnsi="Times New Roman" w:cs="Times New Roman"/>
          <w:lang w:val="en-GB"/>
        </w:rPr>
        <w:t>5.装置或检修设备时应先切断电源切勿带电作业，并挂警示牌或派专人看护。</w:t>
      </w:r>
    </w:p>
    <w:p w14:paraId="65E4B75C">
      <w:pPr>
        <w:ind w:firstLine="0" w:firstLineChars="0"/>
        <w:rPr>
          <w:rFonts w:ascii="Times New Roman" w:hAnsi="Times New Roman" w:cs="Times New Roman"/>
          <w:lang w:val="en-GB"/>
        </w:rPr>
      </w:pPr>
      <w:r>
        <w:rPr>
          <w:rFonts w:ascii="Times New Roman" w:hAnsi="Times New Roman" w:cs="Times New Roman"/>
          <w:lang w:val="en-GB"/>
        </w:rPr>
        <w:t>6.各工种操作人员使用手持电动工具，必须穿相应护具。</w:t>
      </w:r>
    </w:p>
    <w:p w14:paraId="125B363E">
      <w:pPr>
        <w:ind w:firstLine="0" w:firstLineChars="0"/>
        <w:rPr>
          <w:rFonts w:ascii="Times New Roman" w:hAnsi="Times New Roman" w:cs="Times New Roman"/>
          <w:lang w:val="en-GB"/>
        </w:rPr>
      </w:pPr>
      <w:r>
        <w:rPr>
          <w:rFonts w:ascii="Times New Roman" w:hAnsi="Times New Roman" w:cs="Times New Roman"/>
          <w:lang w:val="en-GB"/>
        </w:rPr>
        <w:t>7.移动手持电动工具应安装漏电保护器。</w:t>
      </w:r>
    </w:p>
    <w:p w14:paraId="503C98A0">
      <w:pPr>
        <w:ind w:firstLine="0" w:firstLineChars="0"/>
        <w:rPr>
          <w:rFonts w:ascii="Times New Roman" w:hAnsi="Times New Roman" w:cs="Times New Roman"/>
          <w:lang w:val="en-GB"/>
        </w:rPr>
      </w:pPr>
      <w:r>
        <w:rPr>
          <w:rFonts w:ascii="Times New Roman" w:hAnsi="Times New Roman" w:cs="Times New Roman"/>
          <w:lang w:val="en-GB"/>
        </w:rPr>
        <w:t>8.橡皮电缆架空敷设时应沿墙壁或电杆设置，严禁用金属裸线作为绑线，电缆的最大弧垂距地应大于2.5m。</w:t>
      </w:r>
    </w:p>
    <w:p w14:paraId="3FB8237E">
      <w:pPr>
        <w:ind w:firstLine="0" w:firstLineChars="0"/>
        <w:rPr>
          <w:rFonts w:ascii="Times New Roman" w:hAnsi="Times New Roman" w:cs="Times New Roman"/>
          <w:lang w:val="en-GB"/>
        </w:rPr>
      </w:pPr>
      <w:r>
        <w:rPr>
          <w:rFonts w:ascii="Times New Roman" w:hAnsi="Times New Roman" w:cs="Times New Roman"/>
          <w:lang w:val="en-GB"/>
        </w:rPr>
        <w:t>9.配电箱、开关箱中导线的进、出线应从箱体底部进出，加护套、分路形成，并应做防水弯，导线末端不得从箱体进出口直接接出，移动式配电箱的进、出线必须用橡皮绝缘电缆。</w:t>
      </w:r>
    </w:p>
    <w:p w14:paraId="16366BCC">
      <w:pPr>
        <w:ind w:firstLine="0" w:firstLineChars="0"/>
        <w:rPr>
          <w:rFonts w:ascii="Times New Roman" w:hAnsi="Times New Roman" w:cs="Times New Roman"/>
          <w:lang w:val="en-GB"/>
        </w:rPr>
      </w:pPr>
      <w:r>
        <w:rPr>
          <w:rFonts w:ascii="Times New Roman" w:hAnsi="Times New Roman" w:cs="Times New Roman"/>
          <w:lang w:val="en-GB"/>
        </w:rPr>
        <w:t>10.用电设备要有各自专用的电源控制，必须严格实行“一机一闸”制，严禁一闸多机及超负荷运行。</w:t>
      </w:r>
    </w:p>
    <w:p w14:paraId="40D22E7A">
      <w:pPr>
        <w:ind w:firstLine="0" w:firstLineChars="0"/>
        <w:rPr>
          <w:rFonts w:ascii="Times New Roman" w:hAnsi="Times New Roman" w:cs="Times New Roman"/>
          <w:lang w:val="en-GB"/>
        </w:rPr>
      </w:pPr>
      <w:r>
        <w:rPr>
          <w:rFonts w:ascii="Times New Roman" w:hAnsi="Times New Roman" w:cs="Times New Roman"/>
          <w:lang w:val="en-GB"/>
        </w:rPr>
        <w:t>11.配电箱及开关箱内电器必须标明作用，分路标志，箱内工作零线必须设专用的接线端子，严禁使用铜、铝线代替熔断保险丝。</w:t>
      </w:r>
    </w:p>
    <w:p w14:paraId="5A4DCF17">
      <w:pPr>
        <w:ind w:firstLine="0" w:firstLineChars="0"/>
        <w:rPr>
          <w:rFonts w:ascii="Times New Roman" w:hAnsi="Times New Roman" w:cs="Times New Roman"/>
          <w:lang w:val="en-GB"/>
        </w:rPr>
      </w:pPr>
      <w:r>
        <w:rPr>
          <w:rFonts w:ascii="Times New Roman" w:hAnsi="Times New Roman" w:cs="Times New Roman"/>
          <w:lang w:val="en-GB"/>
        </w:rPr>
        <w:t>12.工地全部采用铁制配电箱及开关箱，且应能防雨、防砸并设门锁，安装位置应正确。箱内洁净，并保持长期性的干燥、通风，不得在电箱附近或通道处堆放任何障碍物。</w:t>
      </w:r>
    </w:p>
    <w:p w14:paraId="760E9E36">
      <w:pPr>
        <w:ind w:firstLine="0" w:firstLineChars="0"/>
        <w:rPr>
          <w:rFonts w:ascii="Times New Roman" w:hAnsi="Times New Roman" w:cs="Times New Roman"/>
          <w:lang w:val="en-GB"/>
        </w:rPr>
      </w:pPr>
      <w:r>
        <w:rPr>
          <w:rFonts w:ascii="Times New Roman" w:hAnsi="Times New Roman" w:cs="Times New Roman"/>
          <w:lang w:val="en-GB"/>
        </w:rPr>
        <w:t>13.工地采用漏电保护实行分段保护法，形成最少二级的漏电保护网，接线时严格区分工作零线与保护零线，注意零线的接法。保护零线必须在线路总配电箱、中间、末端设置3 处重复接地。</w:t>
      </w:r>
    </w:p>
    <w:p w14:paraId="29D87D4C">
      <w:pPr>
        <w:ind w:firstLine="0" w:firstLineChars="0"/>
        <w:rPr>
          <w:rFonts w:ascii="Times New Roman" w:hAnsi="Times New Roman" w:cs="Times New Roman"/>
          <w:lang w:val="en-GB"/>
        </w:rPr>
      </w:pPr>
      <w:r>
        <w:rPr>
          <w:rFonts w:ascii="Times New Roman" w:hAnsi="Times New Roman" w:cs="Times New Roman"/>
          <w:lang w:val="en-GB"/>
        </w:rPr>
        <w:t>14.施工现场要求工作接地电阻大于4 欧，保护接地电阻不大于10 欧，重复接地电阻不大于10 欧，防雷接地电阻不大于30 欧。</w:t>
      </w:r>
    </w:p>
    <w:p w14:paraId="714B93DD">
      <w:pPr>
        <w:ind w:firstLine="0" w:firstLineChars="0"/>
        <w:rPr>
          <w:rFonts w:ascii="Times New Roman" w:hAnsi="Times New Roman" w:cs="Times New Roman"/>
          <w:lang w:val="en-GB"/>
        </w:rPr>
      </w:pPr>
      <w:r>
        <w:rPr>
          <w:rFonts w:ascii="Times New Roman" w:hAnsi="Times New Roman" w:cs="Times New Roman"/>
          <w:lang w:val="en-GB"/>
        </w:rPr>
        <w:t>15.施工现场用电应派专人进行每日安全巡视与检查工作，电工交接班要对漏电保护装置进行检查，发现问题及时更换。</w:t>
      </w:r>
    </w:p>
    <w:p w14:paraId="7B747B85">
      <w:pPr>
        <w:pStyle w:val="4"/>
        <w:rPr>
          <w:rFonts w:hint="eastAsia"/>
        </w:rPr>
      </w:pPr>
      <w:bookmarkStart w:id="364" w:name="_Toc186452659"/>
      <w:bookmarkStart w:id="365" w:name="_Toc31930"/>
      <w:bookmarkStart w:id="366" w:name="_Toc186389213"/>
      <w:bookmarkStart w:id="367" w:name="_Toc1282"/>
      <w:r>
        <w:t>高空作业安全施工方案</w:t>
      </w:r>
      <w:bookmarkEnd w:id="364"/>
      <w:bookmarkEnd w:id="365"/>
      <w:bookmarkEnd w:id="366"/>
      <w:bookmarkEnd w:id="367"/>
    </w:p>
    <w:p w14:paraId="3EB38F6F">
      <w:pPr>
        <w:ind w:firstLine="0" w:firstLineChars="0"/>
        <w:rPr>
          <w:rFonts w:ascii="Times New Roman" w:hAnsi="Times New Roman" w:cs="Times New Roman"/>
          <w:lang w:val="en-GB"/>
        </w:rPr>
      </w:pPr>
      <w:r>
        <w:rPr>
          <w:rFonts w:ascii="Times New Roman" w:hAnsi="Times New Roman" w:cs="Times New Roman"/>
          <w:lang w:val="en-GB"/>
        </w:rPr>
        <w:t>由于安装堆垛机时带时面临高空作业等诸多难点，为保证安装安全顺利进行，我方将严格采用以下措施：</w:t>
      </w:r>
    </w:p>
    <w:p w14:paraId="09926161">
      <w:pPr>
        <w:ind w:firstLine="0" w:firstLineChars="0"/>
        <w:rPr>
          <w:rFonts w:ascii="Times New Roman" w:hAnsi="Times New Roman" w:cs="Times New Roman"/>
          <w:lang w:val="en-GB"/>
        </w:rPr>
      </w:pPr>
      <w:r>
        <w:rPr>
          <w:rFonts w:ascii="Times New Roman" w:hAnsi="Times New Roman" w:cs="Times New Roman"/>
          <w:lang w:val="en-GB"/>
        </w:rPr>
        <w:t>1．堆垛机调试、检测采用12t以上吊车辅助，吊车司机专门训练，经有关部门考核合格，发给合格证，方准上岗操作，严禁无证人员操作起重设备。其他协助人员需戴安全帽及安全带。</w:t>
      </w:r>
    </w:p>
    <w:p w14:paraId="4FAE87BA">
      <w:pPr>
        <w:ind w:firstLine="0" w:firstLineChars="0"/>
        <w:rPr>
          <w:rFonts w:ascii="Times New Roman" w:hAnsi="Times New Roman" w:cs="Times New Roman"/>
          <w:lang w:val="en-GB"/>
        </w:rPr>
      </w:pPr>
      <w:r>
        <w:rPr>
          <w:rFonts w:ascii="Times New Roman" w:hAnsi="Times New Roman" w:cs="Times New Roman"/>
          <w:lang w:val="en-GB"/>
        </w:rPr>
        <w:t xml:space="preserve">2．进行起重作业前,起重机司机必须检查各部装置是否正常,钢缆是否符合安全规定,制定器、液压装置和安全装置是否齐全、可靠、灵敏，严禁起重机各工作部件带病运行。 </w:t>
      </w:r>
    </w:p>
    <w:p w14:paraId="7599BAF7">
      <w:pPr>
        <w:ind w:firstLine="0" w:firstLineChars="0"/>
        <w:rPr>
          <w:rFonts w:ascii="Times New Roman" w:hAnsi="Times New Roman" w:cs="Times New Roman"/>
          <w:lang w:val="en-GB"/>
        </w:rPr>
      </w:pPr>
      <w:r>
        <w:rPr>
          <w:rFonts w:ascii="Times New Roman" w:hAnsi="Times New Roman" w:cs="Times New Roman"/>
          <w:lang w:val="en-GB"/>
        </w:rPr>
        <w:t xml:space="preserve">3．起重机司机必须与指挥人员密切配合，服从指挥人员的信号指挥。操作前必须先鸣喇叭。如发现指挥信号不清或错误时，司机有权拒绝执行；工作中，司机对任何人发出的紧急停车信号，必须立即服从，待消除不安全因素后，方能继续工作。 </w:t>
      </w:r>
    </w:p>
    <w:p w14:paraId="25A6921D">
      <w:pPr>
        <w:ind w:firstLine="0" w:firstLineChars="0"/>
        <w:rPr>
          <w:rFonts w:ascii="Times New Roman" w:hAnsi="Times New Roman" w:cs="Times New Roman"/>
          <w:lang w:val="en-GB"/>
        </w:rPr>
      </w:pPr>
      <w:r>
        <w:rPr>
          <w:rFonts w:ascii="Times New Roman" w:hAnsi="Times New Roman" w:cs="Times New Roman"/>
          <w:lang w:val="en-GB"/>
        </w:rPr>
        <w:t>4．起重机只能垂直吊起载荷，严禁拖拽尚未离地的载荷，要避免侧载。</w:t>
      </w:r>
    </w:p>
    <w:p w14:paraId="02402A19">
      <w:pPr>
        <w:ind w:firstLine="0" w:firstLineChars="0"/>
        <w:rPr>
          <w:rFonts w:ascii="Times New Roman" w:hAnsi="Times New Roman" w:cs="Times New Roman"/>
          <w:lang w:val="en-GB"/>
        </w:rPr>
      </w:pPr>
      <w:r>
        <w:rPr>
          <w:rFonts w:ascii="Times New Roman" w:hAnsi="Times New Roman" w:cs="Times New Roman"/>
          <w:lang w:val="en-GB"/>
        </w:rPr>
        <w:t xml:space="preserve">5．起重机在进行满负荷起吊时，禁止同时用两种或两种以上的操作动作。起重吊臂的左右旋转角度都不能超过45°，严禁斜吊、拉吊和快速升降。严禁吊拔埋入地面的物件，严禁强行吊拉吸贴于地面的面积较大的物体。 </w:t>
      </w:r>
    </w:p>
    <w:p w14:paraId="729BA019">
      <w:pPr>
        <w:ind w:firstLine="0" w:firstLineChars="0"/>
        <w:rPr>
          <w:rFonts w:ascii="Times New Roman" w:hAnsi="Times New Roman" w:cs="Times New Roman"/>
          <w:lang w:val="en-GB"/>
        </w:rPr>
      </w:pPr>
      <w:r>
        <w:rPr>
          <w:rFonts w:ascii="Times New Roman" w:hAnsi="Times New Roman" w:cs="Times New Roman"/>
          <w:lang w:val="en-GB"/>
        </w:rPr>
        <w:t>6．起重机严禁超载使用，如果用两台起重机同时起吊一重物，必须服从专人的统一指挥，两机的升降速度要保持相等，其物件的重量不得超过两机所允许的总起重量的75%。绑扎吊索时，要注意负荷的分配，每车分担的负荷不能超过所允许最大起重量的80%。</w:t>
      </w:r>
    </w:p>
    <w:p w14:paraId="5759E6EE">
      <w:pPr>
        <w:ind w:firstLine="0" w:firstLineChars="0"/>
        <w:rPr>
          <w:rFonts w:ascii="Times New Roman" w:hAnsi="Times New Roman" w:cs="Times New Roman"/>
          <w:lang w:val="en-GB"/>
        </w:rPr>
      </w:pPr>
      <w:r>
        <w:rPr>
          <w:rFonts w:ascii="Times New Roman" w:hAnsi="Times New Roman" w:cs="Times New Roman"/>
          <w:lang w:val="en-GB"/>
        </w:rPr>
        <w:t xml:space="preserve">7．起重机在工作时，吊钩与滑轮之间应保持一定的距离，防止卷扬过限把钢缆拉断或吊臂后翻。在吊臂全伸变幅至最大仰角并吊钩降至最低位置时，卷扬滚筒上的钢缆应至少保留3匝以上。 </w:t>
      </w:r>
    </w:p>
    <w:p w14:paraId="2EFD0F01">
      <w:pPr>
        <w:ind w:firstLine="0" w:firstLineChars="0"/>
        <w:rPr>
          <w:rFonts w:ascii="Times New Roman" w:hAnsi="Times New Roman" w:cs="Times New Roman"/>
          <w:lang w:val="en-GB"/>
        </w:rPr>
      </w:pPr>
      <w:r>
        <w:rPr>
          <w:rFonts w:ascii="Times New Roman" w:hAnsi="Times New Roman" w:cs="Times New Roman"/>
          <w:lang w:val="en-GB"/>
        </w:rPr>
        <w:t>8．工作时吊臂仰角不得小于30°，起重机在吊有载荷的情况下应尽量避免吊臂的变幅，绝对禁止在吊荷停稳妥前变换操作杆。</w:t>
      </w:r>
    </w:p>
    <w:p w14:paraId="3D356B56">
      <w:pPr>
        <w:ind w:firstLine="0" w:firstLineChars="0"/>
        <w:rPr>
          <w:rFonts w:ascii="Times New Roman" w:hAnsi="Times New Roman" w:cs="Times New Roman"/>
          <w:lang w:val="en-GB"/>
        </w:rPr>
      </w:pPr>
      <w:r>
        <w:rPr>
          <w:rFonts w:ascii="Times New Roman" w:hAnsi="Times New Roman" w:cs="Times New Roman"/>
          <w:lang w:val="en-GB"/>
        </w:rPr>
        <w:t>9．起重机在工作时，严禁进行检修和调整，吊臂下不得停留工作人员。起吊物件时，应先检查捆缚是否牢固，绳索经过有棱角、快口处应设衬垫，吊位重心要准确，不许物件在受力后产生扭、曲、沉、斜等现象。</w:t>
      </w:r>
    </w:p>
    <w:p w14:paraId="45639124">
      <w:pPr>
        <w:ind w:firstLine="0" w:firstLineChars="0"/>
        <w:rPr>
          <w:rFonts w:ascii="Times New Roman" w:hAnsi="Times New Roman" w:cs="Times New Roman"/>
          <w:lang w:val="en-GB"/>
        </w:rPr>
      </w:pPr>
      <w:r>
        <w:rPr>
          <w:rFonts w:ascii="Times New Roman" w:hAnsi="Times New Roman" w:cs="Times New Roman"/>
          <w:lang w:val="en-GB"/>
        </w:rPr>
        <w:t xml:space="preserve">10．停工或休息时，不准将吊物悬挂在空中。 </w:t>
      </w:r>
    </w:p>
    <w:p w14:paraId="17C3F62F">
      <w:pPr>
        <w:ind w:firstLine="0" w:firstLineChars="0"/>
        <w:rPr>
          <w:rFonts w:ascii="Times New Roman" w:hAnsi="Times New Roman" w:cs="Times New Roman"/>
          <w:lang w:val="en-GB"/>
        </w:rPr>
      </w:pPr>
      <w:r>
        <w:rPr>
          <w:rFonts w:ascii="Times New Roman" w:hAnsi="Times New Roman" w:cs="Times New Roman"/>
          <w:lang w:val="en-GB"/>
        </w:rPr>
        <w:t>11．工作完毕，吊钩和吊臂应放在规定的稳妥位置，并将所有控制手柄放至中位。</w:t>
      </w:r>
    </w:p>
    <w:p w14:paraId="53C83653">
      <w:pPr>
        <w:pStyle w:val="3"/>
        <w:rPr>
          <w:rFonts w:ascii="Times New Roman" w:hAnsi="Times New Roman"/>
        </w:rPr>
      </w:pPr>
      <w:bookmarkStart w:id="368" w:name="_Toc169560684"/>
      <w:bookmarkStart w:id="369" w:name="_Toc3247"/>
      <w:bookmarkStart w:id="370" w:name="_Toc186389214"/>
      <w:bookmarkStart w:id="371" w:name="_Toc8267"/>
      <w:bookmarkStart w:id="372" w:name="_Toc186452660"/>
      <w:r>
        <w:rPr>
          <w:rFonts w:ascii="Times New Roman" w:hAnsi="Times New Roman"/>
        </w:rPr>
        <w:t>质量方案</w:t>
      </w:r>
      <w:bookmarkEnd w:id="368"/>
      <w:bookmarkEnd w:id="369"/>
      <w:bookmarkEnd w:id="370"/>
      <w:bookmarkEnd w:id="371"/>
      <w:bookmarkEnd w:id="372"/>
    </w:p>
    <w:p w14:paraId="42D8F268">
      <w:pPr>
        <w:ind w:firstLine="420" w:firstLineChars="0"/>
        <w:rPr>
          <w:rFonts w:ascii="Times New Roman" w:hAnsi="Times New Roman" w:cs="Times New Roman"/>
          <w:lang w:val="en-GB"/>
        </w:rPr>
      </w:pPr>
      <w:r>
        <w:rPr>
          <w:rFonts w:ascii="Times New Roman" w:hAnsi="Times New Roman" w:cs="Times New Roman"/>
          <w:lang w:val="en-GB"/>
        </w:rPr>
        <w:t>设备质量控制方面：采用驻厂监造、质量抽查、出厂检验、物流全程监控、到货验收、安装检验等环节，实现全流程的质量控制，确保达到建设目标。</w:t>
      </w:r>
    </w:p>
    <w:p w14:paraId="17D85AF9">
      <w:pPr>
        <w:ind w:firstLine="0" w:firstLineChars="0"/>
        <w:rPr>
          <w:rFonts w:ascii="Times New Roman" w:hAnsi="Times New Roman" w:cs="Times New Roman"/>
          <w:lang w:val="en-GB"/>
        </w:rPr>
      </w:pPr>
      <w:r>
        <w:rPr>
          <w:rFonts w:ascii="Times New Roman" w:hAnsi="Times New Roman" w:cs="Times New Roman"/>
          <w:lang w:val="en-GB"/>
        </w:rPr>
        <w:t>软件研发方面，本项目采用 ISO9001质量体系认证方法，进行软件质量的控制（主要包括软件代码质量控制、软件测试方法论的控制、软件测试方案的控制、软件防护方案的控制）。确保在工程执行的各个阶段均得到有效控制，所有质量控制过程均应有质量记录，质量记录应妥善保存。</w:t>
      </w:r>
    </w:p>
    <w:p w14:paraId="6226B81B">
      <w:pPr>
        <w:pStyle w:val="4"/>
        <w:rPr>
          <w:rFonts w:hint="eastAsia"/>
        </w:rPr>
      </w:pPr>
      <w:bookmarkStart w:id="373" w:name="_Toc8041"/>
      <w:bookmarkStart w:id="374" w:name="_Toc186389215"/>
      <w:bookmarkStart w:id="375" w:name="_Toc1096"/>
      <w:bookmarkStart w:id="376" w:name="_Toc186452661"/>
      <w:r>
        <w:t>质量控制文件</w:t>
      </w:r>
      <w:bookmarkEnd w:id="373"/>
      <w:bookmarkEnd w:id="374"/>
      <w:bookmarkEnd w:id="375"/>
      <w:bookmarkEnd w:id="376"/>
    </w:p>
    <w:p w14:paraId="0271BFC0">
      <w:pPr>
        <w:ind w:firstLine="0" w:firstLineChars="0"/>
        <w:rPr>
          <w:rFonts w:ascii="Times New Roman" w:hAnsi="Times New Roman" w:cs="Times New Roman"/>
          <w:lang w:val="en-GB"/>
        </w:rPr>
      </w:pPr>
      <w:r>
        <w:rPr>
          <w:rFonts w:ascii="Times New Roman" w:hAnsi="Times New Roman" w:cs="Times New Roman"/>
          <w:lang w:val="en-GB"/>
        </w:rPr>
        <w:t>1．质量政策、目的文件：</w:t>
      </w:r>
    </w:p>
    <w:p w14:paraId="60D5D75B">
      <w:pPr>
        <w:ind w:firstLine="0" w:firstLineChars="0"/>
        <w:rPr>
          <w:rFonts w:ascii="Times New Roman" w:hAnsi="Times New Roman" w:cs="Times New Roman"/>
          <w:lang w:val="en-GB"/>
        </w:rPr>
      </w:pPr>
      <w:r>
        <w:rPr>
          <w:rFonts w:hint="eastAsia" w:ascii="宋体" w:hAnsi="宋体" w:eastAsia="宋体" w:cs="宋体"/>
          <w:lang w:val="en-GB"/>
        </w:rPr>
        <w:t>①</w:t>
      </w:r>
      <w:r>
        <w:rPr>
          <w:rFonts w:ascii="Times New Roman" w:hAnsi="Times New Roman" w:cs="Times New Roman"/>
          <w:lang w:val="en-GB"/>
        </w:rPr>
        <w:t xml:space="preserve"> 我方对设备质量的政策、目的和保证有明确定义并制定文件。</w:t>
      </w:r>
    </w:p>
    <w:p w14:paraId="06B39728">
      <w:pPr>
        <w:ind w:firstLine="0" w:firstLineChars="0"/>
        <w:rPr>
          <w:rFonts w:ascii="Times New Roman" w:hAnsi="Times New Roman" w:cs="Times New Roman"/>
          <w:lang w:val="en-GB"/>
        </w:rPr>
      </w:pPr>
      <w:r>
        <w:rPr>
          <w:rFonts w:hint="eastAsia" w:ascii="宋体" w:hAnsi="宋体" w:eastAsia="宋体" w:cs="宋体"/>
          <w:lang w:val="en-GB"/>
        </w:rPr>
        <w:t>②</w:t>
      </w:r>
      <w:r>
        <w:rPr>
          <w:rFonts w:ascii="Times New Roman" w:hAnsi="Times New Roman" w:cs="Times New Roman"/>
          <w:lang w:val="en-GB"/>
        </w:rPr>
        <w:t xml:space="preserve"> 保证该政策在各级组织范围内已理解、贯彻和执行。</w:t>
      </w:r>
    </w:p>
    <w:p w14:paraId="32BA7C86">
      <w:pPr>
        <w:ind w:firstLine="0" w:firstLineChars="0"/>
        <w:rPr>
          <w:rFonts w:ascii="Times New Roman" w:hAnsi="Times New Roman" w:cs="Times New Roman"/>
          <w:lang w:val="en-GB"/>
        </w:rPr>
      </w:pPr>
      <w:r>
        <w:rPr>
          <w:rFonts w:ascii="Times New Roman" w:hAnsi="Times New Roman" w:cs="Times New Roman"/>
          <w:lang w:val="en-GB"/>
        </w:rPr>
        <w:t>2．质量体系程序文件：</w:t>
      </w:r>
    </w:p>
    <w:p w14:paraId="3747F3DA">
      <w:pPr>
        <w:ind w:firstLine="0" w:firstLineChars="0"/>
        <w:rPr>
          <w:rFonts w:ascii="Times New Roman" w:hAnsi="Times New Roman" w:cs="Times New Roman"/>
          <w:lang w:val="en-GB"/>
        </w:rPr>
      </w:pPr>
      <w:r>
        <w:rPr>
          <w:rFonts w:hint="eastAsia" w:ascii="宋体" w:hAnsi="宋体" w:eastAsia="宋体" w:cs="宋体"/>
          <w:lang w:val="en-GB"/>
        </w:rPr>
        <w:t>①</w:t>
      </w:r>
      <w:r>
        <w:rPr>
          <w:rFonts w:ascii="Times New Roman" w:hAnsi="Times New Roman" w:cs="Times New Roman"/>
          <w:lang w:val="en-GB"/>
        </w:rPr>
        <w:t xml:space="preserve"> 我方已建立和贯彻以明文规定的质量体系，作为保证设备符合技术要求的一种手段。</w:t>
      </w:r>
    </w:p>
    <w:p w14:paraId="5E62BD7F">
      <w:pPr>
        <w:ind w:firstLine="0" w:firstLineChars="0"/>
        <w:rPr>
          <w:rFonts w:ascii="Times New Roman" w:hAnsi="Times New Roman" w:cs="Times New Roman"/>
          <w:lang w:val="en-GB"/>
        </w:rPr>
      </w:pPr>
      <w:r>
        <w:rPr>
          <w:rFonts w:hint="eastAsia" w:ascii="宋体" w:hAnsi="宋体" w:eastAsia="宋体" w:cs="宋体"/>
          <w:lang w:val="en-GB"/>
        </w:rPr>
        <w:t>②</w:t>
      </w:r>
      <w:r>
        <w:rPr>
          <w:rFonts w:ascii="Times New Roman" w:hAnsi="Times New Roman" w:cs="Times New Roman"/>
          <w:lang w:val="en-GB"/>
        </w:rPr>
        <w:t xml:space="preserve"> 我方可向买方提供现行、有效、成文的质量体系程序文件。</w:t>
      </w:r>
    </w:p>
    <w:p w14:paraId="0D0CA009">
      <w:pPr>
        <w:ind w:firstLine="0" w:firstLineChars="0"/>
        <w:rPr>
          <w:rFonts w:ascii="Times New Roman" w:hAnsi="Times New Roman" w:cs="Times New Roman"/>
          <w:lang w:val="en-GB"/>
        </w:rPr>
      </w:pPr>
      <w:r>
        <w:rPr>
          <w:rFonts w:hint="eastAsia" w:ascii="宋体" w:hAnsi="宋体" w:eastAsia="宋体" w:cs="宋体"/>
          <w:lang w:val="en-GB"/>
        </w:rPr>
        <w:t>③</w:t>
      </w:r>
      <w:r>
        <w:rPr>
          <w:rFonts w:ascii="Times New Roman" w:hAnsi="Times New Roman" w:cs="Times New Roman"/>
          <w:lang w:val="en-GB"/>
        </w:rPr>
        <w:t xml:space="preserve"> 质量体系程序文件包括：设备设计、文件控制、原材料采购、生产、测试检验、包装运输、现场服务等。</w:t>
      </w:r>
    </w:p>
    <w:p w14:paraId="38642627">
      <w:pPr>
        <w:ind w:firstLine="0" w:firstLineChars="0"/>
        <w:rPr>
          <w:rFonts w:ascii="Times New Roman" w:hAnsi="Times New Roman" w:cs="Times New Roman"/>
          <w:lang w:val="en-GB"/>
        </w:rPr>
      </w:pPr>
      <w:r>
        <w:rPr>
          <w:rFonts w:ascii="Times New Roman" w:hAnsi="Times New Roman" w:cs="Times New Roman"/>
          <w:lang w:val="en-GB"/>
        </w:rPr>
        <w:t>3．所有相关质量保证文件可提交买方，并随时接受买方的审查。</w:t>
      </w:r>
    </w:p>
    <w:p w14:paraId="75187870">
      <w:pPr>
        <w:ind w:firstLine="0" w:firstLineChars="0"/>
        <w:rPr>
          <w:rFonts w:ascii="Times New Roman" w:hAnsi="Times New Roman" w:cs="Times New Roman"/>
          <w:lang w:val="en-GB"/>
        </w:rPr>
      </w:pPr>
      <w:r>
        <w:rPr>
          <w:rFonts w:hint="eastAsia" w:ascii="Times New Roman" w:hAnsi="Times New Roman" w:cs="Times New Roman"/>
          <w:lang w:val="en-GB"/>
        </w:rPr>
        <w:t>4</w:t>
      </w:r>
      <w:r>
        <w:rPr>
          <w:rFonts w:ascii="Times New Roman" w:hAnsi="Times New Roman" w:cs="Times New Roman"/>
          <w:lang w:val="en-GB"/>
        </w:rPr>
        <w:t xml:space="preserve">.   </w:t>
      </w:r>
      <w:r>
        <w:rPr>
          <w:rFonts w:hint="eastAsia" w:ascii="Times New Roman" w:hAnsi="Times New Roman" w:cs="Times New Roman"/>
          <w:lang w:val="en-GB"/>
        </w:rPr>
        <w:t>特殊说明</w:t>
      </w:r>
    </w:p>
    <w:p w14:paraId="46D14B76">
      <w:pPr>
        <w:ind w:firstLine="0" w:firstLineChars="0"/>
      </w:pPr>
      <w:r>
        <w:t>遵照ISO9001标准进行，保证生产使用的所有技术文件准确、完整、统一、清晰、现行有效。</w:t>
      </w:r>
    </w:p>
    <w:p w14:paraId="6648C18F">
      <w:pPr>
        <w:ind w:firstLine="420" w:firstLineChars="0"/>
      </w:pPr>
      <w:r>
        <w:rPr>
          <w:rFonts w:hint="eastAsia"/>
        </w:rPr>
        <w:t>电机减速机、可编程逻辑控制器PLC、光电开关、变频器、继电器、交流接触器、行程开关、光电开关、空气开关、现场总线、编码器、安全滑触线、轴承等关键零部件采用国际知名品牌产品。承诺关键元器件的配置选型遵循技术先进的原则。在符合元器件选型要求的前提下，选择使用国际知名或国内知名品牌品牌，以保证元件配置先进性。部分元器件配置如下表所示：</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2545"/>
        <w:gridCol w:w="1596"/>
        <w:gridCol w:w="1848"/>
        <w:gridCol w:w="1497"/>
      </w:tblGrid>
      <w:tr w14:paraId="5B95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608" w:type="pct"/>
            <w:noWrap/>
            <w:vAlign w:val="center"/>
          </w:tcPr>
          <w:p w14:paraId="10368709">
            <w:pPr>
              <w:spacing w:line="240" w:lineRule="auto"/>
              <w:ind w:firstLine="0" w:firstLineChars="0"/>
              <w:jc w:val="center"/>
              <w:rPr>
                <w:rFonts w:hint="eastAsia" w:ascii="宋体" w:hAnsi="宋体"/>
                <w:b/>
                <w:bCs/>
                <w:szCs w:val="24"/>
              </w:rPr>
            </w:pPr>
            <w:r>
              <w:rPr>
                <w:rFonts w:hint="eastAsia" w:ascii="宋体" w:hAnsi="宋体"/>
                <w:b/>
                <w:bCs/>
                <w:szCs w:val="24"/>
              </w:rPr>
              <w:t>序号</w:t>
            </w:r>
          </w:p>
        </w:tc>
        <w:tc>
          <w:tcPr>
            <w:tcW w:w="1493" w:type="pct"/>
            <w:vAlign w:val="center"/>
          </w:tcPr>
          <w:p w14:paraId="16E70FF5">
            <w:pPr>
              <w:spacing w:line="240" w:lineRule="auto"/>
              <w:ind w:firstLine="0" w:firstLineChars="0"/>
              <w:jc w:val="center"/>
              <w:rPr>
                <w:rFonts w:hint="eastAsia" w:ascii="宋体" w:hAnsi="宋体"/>
                <w:b/>
                <w:bCs/>
                <w:szCs w:val="24"/>
              </w:rPr>
            </w:pPr>
            <w:r>
              <w:rPr>
                <w:rFonts w:hint="eastAsia" w:ascii="宋体" w:hAnsi="宋体"/>
                <w:b/>
                <w:bCs/>
                <w:szCs w:val="24"/>
              </w:rPr>
              <w:t>器件</w:t>
            </w:r>
          </w:p>
        </w:tc>
        <w:tc>
          <w:tcPr>
            <w:tcW w:w="936" w:type="pct"/>
            <w:noWrap/>
            <w:vAlign w:val="center"/>
          </w:tcPr>
          <w:p w14:paraId="395BD982">
            <w:pPr>
              <w:spacing w:line="240" w:lineRule="auto"/>
              <w:ind w:firstLine="0" w:firstLineChars="0"/>
              <w:jc w:val="center"/>
              <w:rPr>
                <w:rFonts w:hint="eastAsia" w:ascii="宋体" w:hAnsi="宋体"/>
                <w:b/>
                <w:bCs/>
                <w:szCs w:val="24"/>
              </w:rPr>
            </w:pPr>
            <w:r>
              <w:rPr>
                <w:rFonts w:hint="eastAsia" w:ascii="宋体" w:hAnsi="宋体"/>
                <w:b/>
                <w:bCs/>
                <w:szCs w:val="24"/>
              </w:rPr>
              <w:t>型号</w:t>
            </w:r>
            <w:r>
              <w:rPr>
                <w:rFonts w:ascii="宋体" w:hAnsi="宋体"/>
                <w:b/>
                <w:bCs/>
                <w:szCs w:val="24"/>
              </w:rPr>
              <w:t>/</w:t>
            </w:r>
            <w:r>
              <w:rPr>
                <w:rFonts w:hint="eastAsia" w:ascii="宋体" w:hAnsi="宋体"/>
                <w:b/>
                <w:bCs/>
                <w:szCs w:val="24"/>
              </w:rPr>
              <w:t>系列</w:t>
            </w:r>
          </w:p>
        </w:tc>
        <w:tc>
          <w:tcPr>
            <w:tcW w:w="1084" w:type="pct"/>
            <w:noWrap/>
            <w:vAlign w:val="center"/>
          </w:tcPr>
          <w:p w14:paraId="13B43036">
            <w:pPr>
              <w:spacing w:line="240" w:lineRule="auto"/>
              <w:ind w:firstLine="0" w:firstLineChars="0"/>
              <w:jc w:val="center"/>
              <w:rPr>
                <w:rFonts w:hint="eastAsia" w:ascii="宋体" w:hAnsi="宋体"/>
                <w:b/>
                <w:bCs/>
                <w:szCs w:val="24"/>
              </w:rPr>
            </w:pPr>
            <w:r>
              <w:rPr>
                <w:rFonts w:hint="eastAsia" w:ascii="宋体" w:hAnsi="宋体"/>
                <w:b/>
                <w:bCs/>
                <w:szCs w:val="24"/>
              </w:rPr>
              <w:t>厂家</w:t>
            </w:r>
          </w:p>
        </w:tc>
        <w:tc>
          <w:tcPr>
            <w:tcW w:w="878" w:type="pct"/>
            <w:noWrap/>
            <w:vAlign w:val="center"/>
          </w:tcPr>
          <w:p w14:paraId="02AA553F">
            <w:pPr>
              <w:spacing w:line="240" w:lineRule="auto"/>
              <w:ind w:firstLine="0" w:firstLineChars="0"/>
              <w:jc w:val="center"/>
              <w:rPr>
                <w:rFonts w:hint="eastAsia" w:ascii="宋体" w:hAnsi="宋体"/>
                <w:b/>
                <w:bCs/>
                <w:szCs w:val="24"/>
              </w:rPr>
            </w:pPr>
            <w:r>
              <w:rPr>
                <w:rFonts w:hint="eastAsia" w:ascii="宋体" w:hAnsi="宋体"/>
                <w:b/>
                <w:bCs/>
                <w:szCs w:val="24"/>
              </w:rPr>
              <w:t>备注</w:t>
            </w:r>
          </w:p>
        </w:tc>
      </w:tr>
      <w:tr w14:paraId="7646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00040691">
            <w:pPr>
              <w:spacing w:line="240" w:lineRule="auto"/>
              <w:ind w:firstLine="0" w:firstLineChars="0"/>
              <w:jc w:val="center"/>
              <w:rPr>
                <w:rFonts w:hint="eastAsia" w:ascii="宋体" w:hAnsi="宋体"/>
                <w:szCs w:val="24"/>
              </w:rPr>
            </w:pPr>
            <w:r>
              <w:rPr>
                <w:rFonts w:ascii="宋体" w:hAnsi="宋体"/>
                <w:szCs w:val="24"/>
              </w:rPr>
              <w:t>1</w:t>
            </w:r>
          </w:p>
        </w:tc>
        <w:tc>
          <w:tcPr>
            <w:tcW w:w="1493" w:type="pct"/>
            <w:vAlign w:val="center"/>
          </w:tcPr>
          <w:p w14:paraId="357C90D7">
            <w:pPr>
              <w:spacing w:line="240" w:lineRule="auto"/>
              <w:ind w:firstLine="0" w:firstLineChars="0"/>
              <w:jc w:val="center"/>
              <w:rPr>
                <w:rFonts w:hint="eastAsia" w:ascii="宋体" w:hAnsi="宋体"/>
                <w:szCs w:val="24"/>
              </w:rPr>
            </w:pPr>
            <w:r>
              <w:rPr>
                <w:rFonts w:hint="eastAsia" w:ascii="宋体" w:hAnsi="宋体"/>
                <w:szCs w:val="24"/>
              </w:rPr>
              <w:t>主控制器（</w:t>
            </w:r>
            <w:r>
              <w:rPr>
                <w:rFonts w:ascii="宋体" w:hAnsi="宋体"/>
                <w:szCs w:val="24"/>
              </w:rPr>
              <w:t>PLC</w:t>
            </w:r>
            <w:r>
              <w:rPr>
                <w:rFonts w:hint="eastAsia" w:ascii="宋体" w:hAnsi="宋体"/>
                <w:szCs w:val="24"/>
              </w:rPr>
              <w:t>）</w:t>
            </w:r>
          </w:p>
        </w:tc>
        <w:tc>
          <w:tcPr>
            <w:tcW w:w="936" w:type="pct"/>
            <w:noWrap/>
            <w:vAlign w:val="center"/>
          </w:tcPr>
          <w:p w14:paraId="06CD4960">
            <w:pPr>
              <w:spacing w:line="240" w:lineRule="auto"/>
              <w:ind w:firstLine="0" w:firstLineChars="0"/>
              <w:jc w:val="center"/>
              <w:rPr>
                <w:rFonts w:hint="eastAsia" w:ascii="宋体" w:hAnsi="宋体"/>
                <w:szCs w:val="24"/>
              </w:rPr>
            </w:pPr>
            <w:r>
              <w:rPr>
                <w:rFonts w:ascii="宋体" w:hAnsi="宋体"/>
                <w:szCs w:val="24"/>
              </w:rPr>
              <w:t xml:space="preserve">S7 </w:t>
            </w:r>
            <w:r>
              <w:rPr>
                <w:rFonts w:hint="eastAsia" w:ascii="宋体" w:hAnsi="宋体"/>
                <w:szCs w:val="24"/>
              </w:rPr>
              <w:t>1500系列</w:t>
            </w:r>
          </w:p>
        </w:tc>
        <w:tc>
          <w:tcPr>
            <w:tcW w:w="1084" w:type="pct"/>
            <w:noWrap/>
            <w:vAlign w:val="center"/>
          </w:tcPr>
          <w:p w14:paraId="0C848ADF">
            <w:pPr>
              <w:spacing w:line="240" w:lineRule="auto"/>
              <w:ind w:firstLine="0" w:firstLineChars="0"/>
              <w:jc w:val="center"/>
              <w:rPr>
                <w:rFonts w:hint="eastAsia" w:ascii="宋体" w:hAnsi="宋体"/>
                <w:szCs w:val="24"/>
              </w:rPr>
            </w:pPr>
            <w:r>
              <w:rPr>
                <w:rFonts w:ascii="宋体" w:hAnsi="宋体"/>
                <w:szCs w:val="24"/>
              </w:rPr>
              <w:t>SIEMENS</w:t>
            </w:r>
          </w:p>
        </w:tc>
        <w:tc>
          <w:tcPr>
            <w:tcW w:w="878" w:type="pct"/>
            <w:noWrap/>
            <w:vAlign w:val="center"/>
          </w:tcPr>
          <w:p w14:paraId="53D039D1">
            <w:pPr>
              <w:spacing w:line="240" w:lineRule="auto"/>
              <w:ind w:firstLine="0" w:firstLineChars="0"/>
              <w:jc w:val="center"/>
              <w:rPr>
                <w:rFonts w:hint="eastAsia" w:ascii="宋体" w:hAnsi="宋体"/>
                <w:szCs w:val="24"/>
              </w:rPr>
            </w:pPr>
          </w:p>
        </w:tc>
      </w:tr>
      <w:tr w14:paraId="28F8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1BBBA7C0">
            <w:pPr>
              <w:spacing w:line="240" w:lineRule="auto"/>
              <w:ind w:firstLine="0" w:firstLineChars="0"/>
              <w:jc w:val="center"/>
              <w:rPr>
                <w:rFonts w:hint="eastAsia" w:ascii="宋体" w:hAnsi="宋体"/>
                <w:szCs w:val="24"/>
              </w:rPr>
            </w:pPr>
            <w:r>
              <w:rPr>
                <w:rFonts w:ascii="宋体" w:hAnsi="宋体"/>
                <w:szCs w:val="24"/>
              </w:rPr>
              <w:t>2</w:t>
            </w:r>
          </w:p>
        </w:tc>
        <w:tc>
          <w:tcPr>
            <w:tcW w:w="1493" w:type="pct"/>
            <w:vAlign w:val="center"/>
          </w:tcPr>
          <w:p w14:paraId="091F4400">
            <w:pPr>
              <w:spacing w:line="240" w:lineRule="auto"/>
              <w:ind w:firstLine="0" w:firstLineChars="0"/>
              <w:jc w:val="center"/>
              <w:rPr>
                <w:rFonts w:hint="eastAsia" w:ascii="宋体" w:hAnsi="宋体"/>
                <w:szCs w:val="24"/>
              </w:rPr>
            </w:pPr>
            <w:r>
              <w:rPr>
                <w:rFonts w:ascii="宋体" w:hAnsi="宋体"/>
                <w:szCs w:val="24"/>
              </w:rPr>
              <w:t>I/O</w:t>
            </w:r>
            <w:r>
              <w:rPr>
                <w:rFonts w:hint="eastAsia" w:ascii="宋体" w:hAnsi="宋体"/>
                <w:szCs w:val="24"/>
              </w:rPr>
              <w:t>模块</w:t>
            </w:r>
          </w:p>
        </w:tc>
        <w:tc>
          <w:tcPr>
            <w:tcW w:w="936" w:type="pct"/>
            <w:noWrap/>
            <w:vAlign w:val="center"/>
          </w:tcPr>
          <w:p w14:paraId="0F805FE9">
            <w:pPr>
              <w:spacing w:line="240" w:lineRule="auto"/>
              <w:ind w:firstLine="0" w:firstLineChars="0"/>
              <w:jc w:val="center"/>
              <w:rPr>
                <w:rFonts w:hint="eastAsia" w:ascii="宋体" w:hAnsi="宋体"/>
                <w:szCs w:val="24"/>
              </w:rPr>
            </w:pPr>
            <w:r>
              <w:rPr>
                <w:rFonts w:ascii="宋体" w:hAnsi="宋体"/>
                <w:szCs w:val="24"/>
              </w:rPr>
              <w:t>ET200S</w:t>
            </w:r>
            <w:r>
              <w:rPr>
                <w:rFonts w:hint="eastAsia" w:ascii="宋体" w:hAnsi="宋体"/>
                <w:szCs w:val="24"/>
              </w:rPr>
              <w:t>P系列</w:t>
            </w:r>
          </w:p>
        </w:tc>
        <w:tc>
          <w:tcPr>
            <w:tcW w:w="1084" w:type="pct"/>
            <w:noWrap/>
            <w:vAlign w:val="center"/>
          </w:tcPr>
          <w:p w14:paraId="4AEC320E">
            <w:pPr>
              <w:spacing w:line="240" w:lineRule="auto"/>
              <w:ind w:firstLine="0" w:firstLineChars="0"/>
              <w:jc w:val="center"/>
              <w:rPr>
                <w:rFonts w:hint="eastAsia" w:ascii="宋体" w:hAnsi="宋体"/>
                <w:szCs w:val="24"/>
              </w:rPr>
            </w:pPr>
            <w:r>
              <w:rPr>
                <w:rFonts w:ascii="宋体" w:hAnsi="宋体"/>
                <w:szCs w:val="24"/>
              </w:rPr>
              <w:t>SIEMENS</w:t>
            </w:r>
          </w:p>
        </w:tc>
        <w:tc>
          <w:tcPr>
            <w:tcW w:w="878" w:type="pct"/>
            <w:noWrap/>
            <w:vAlign w:val="center"/>
          </w:tcPr>
          <w:p w14:paraId="624916B4">
            <w:pPr>
              <w:spacing w:line="240" w:lineRule="auto"/>
              <w:ind w:firstLine="0" w:firstLineChars="0"/>
              <w:jc w:val="center"/>
              <w:rPr>
                <w:rFonts w:hint="eastAsia" w:ascii="宋体" w:hAnsi="宋体"/>
                <w:szCs w:val="24"/>
              </w:rPr>
            </w:pPr>
          </w:p>
        </w:tc>
      </w:tr>
      <w:tr w14:paraId="1293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7095E707">
            <w:pPr>
              <w:spacing w:line="240" w:lineRule="auto"/>
              <w:ind w:firstLine="0" w:firstLineChars="0"/>
              <w:jc w:val="center"/>
              <w:rPr>
                <w:rFonts w:hint="eastAsia" w:ascii="宋体" w:hAnsi="宋体"/>
                <w:szCs w:val="24"/>
              </w:rPr>
            </w:pPr>
            <w:r>
              <w:rPr>
                <w:rFonts w:ascii="宋体" w:hAnsi="宋体"/>
                <w:szCs w:val="24"/>
              </w:rPr>
              <w:t>3</w:t>
            </w:r>
          </w:p>
        </w:tc>
        <w:tc>
          <w:tcPr>
            <w:tcW w:w="1493" w:type="pct"/>
            <w:vAlign w:val="center"/>
          </w:tcPr>
          <w:p w14:paraId="41CCF366">
            <w:pPr>
              <w:spacing w:line="240" w:lineRule="auto"/>
              <w:ind w:firstLine="0" w:firstLineChars="0"/>
              <w:jc w:val="center"/>
              <w:rPr>
                <w:rFonts w:hint="eastAsia" w:ascii="宋体" w:hAnsi="宋体"/>
                <w:szCs w:val="24"/>
              </w:rPr>
            </w:pPr>
            <w:r>
              <w:rPr>
                <w:rFonts w:hint="eastAsia" w:ascii="宋体" w:hAnsi="宋体"/>
                <w:szCs w:val="24"/>
              </w:rPr>
              <w:t>现场操作终端</w:t>
            </w:r>
          </w:p>
        </w:tc>
        <w:tc>
          <w:tcPr>
            <w:tcW w:w="936" w:type="pct"/>
            <w:noWrap/>
            <w:vAlign w:val="center"/>
          </w:tcPr>
          <w:p w14:paraId="6EA273A2">
            <w:pPr>
              <w:spacing w:line="240" w:lineRule="auto"/>
              <w:ind w:firstLine="0" w:firstLineChars="0"/>
              <w:jc w:val="center"/>
              <w:rPr>
                <w:rFonts w:hint="eastAsia" w:ascii="宋体" w:hAnsi="宋体"/>
                <w:szCs w:val="24"/>
              </w:rPr>
            </w:pPr>
          </w:p>
        </w:tc>
        <w:tc>
          <w:tcPr>
            <w:tcW w:w="1084" w:type="pct"/>
            <w:noWrap/>
            <w:vAlign w:val="center"/>
          </w:tcPr>
          <w:p w14:paraId="693AF70C">
            <w:pPr>
              <w:spacing w:line="240" w:lineRule="auto"/>
              <w:ind w:firstLine="0" w:firstLineChars="0"/>
              <w:jc w:val="center"/>
              <w:rPr>
                <w:rFonts w:hint="eastAsia" w:ascii="宋体" w:hAnsi="宋体"/>
                <w:szCs w:val="24"/>
              </w:rPr>
            </w:pPr>
            <w:r>
              <w:rPr>
                <w:rFonts w:ascii="宋体" w:hAnsi="宋体"/>
                <w:szCs w:val="24"/>
              </w:rPr>
              <w:t>SIEMENS</w:t>
            </w:r>
          </w:p>
        </w:tc>
        <w:tc>
          <w:tcPr>
            <w:tcW w:w="878" w:type="pct"/>
            <w:noWrap/>
            <w:vAlign w:val="center"/>
          </w:tcPr>
          <w:p w14:paraId="16248877">
            <w:pPr>
              <w:spacing w:line="240" w:lineRule="auto"/>
              <w:ind w:firstLine="0" w:firstLineChars="0"/>
              <w:jc w:val="center"/>
              <w:rPr>
                <w:rFonts w:hint="eastAsia" w:ascii="宋体" w:hAnsi="宋体"/>
                <w:szCs w:val="24"/>
              </w:rPr>
            </w:pPr>
          </w:p>
        </w:tc>
      </w:tr>
      <w:tr w14:paraId="3BCA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505543A0">
            <w:pPr>
              <w:spacing w:line="240" w:lineRule="auto"/>
              <w:ind w:firstLine="0" w:firstLineChars="0"/>
              <w:jc w:val="center"/>
              <w:rPr>
                <w:rFonts w:hint="eastAsia" w:ascii="宋体" w:hAnsi="宋体"/>
                <w:szCs w:val="24"/>
              </w:rPr>
            </w:pPr>
            <w:r>
              <w:rPr>
                <w:rFonts w:ascii="宋体" w:hAnsi="宋体"/>
                <w:szCs w:val="24"/>
              </w:rPr>
              <w:t>4</w:t>
            </w:r>
          </w:p>
        </w:tc>
        <w:tc>
          <w:tcPr>
            <w:tcW w:w="1493" w:type="pct"/>
            <w:vAlign w:val="center"/>
          </w:tcPr>
          <w:p w14:paraId="721023D8">
            <w:pPr>
              <w:spacing w:line="240" w:lineRule="auto"/>
              <w:ind w:firstLine="0" w:firstLineChars="0"/>
              <w:jc w:val="center"/>
              <w:rPr>
                <w:rFonts w:hint="eastAsia" w:ascii="宋体" w:hAnsi="宋体"/>
                <w:szCs w:val="24"/>
              </w:rPr>
            </w:pPr>
            <w:r>
              <w:rPr>
                <w:rFonts w:hint="eastAsia" w:ascii="宋体" w:hAnsi="宋体"/>
                <w:szCs w:val="24"/>
              </w:rPr>
              <w:t>主令开关</w:t>
            </w:r>
          </w:p>
        </w:tc>
        <w:tc>
          <w:tcPr>
            <w:tcW w:w="936" w:type="pct"/>
            <w:noWrap/>
            <w:vAlign w:val="center"/>
          </w:tcPr>
          <w:p w14:paraId="703C03B0">
            <w:pPr>
              <w:spacing w:line="240" w:lineRule="auto"/>
              <w:ind w:firstLine="0" w:firstLineChars="0"/>
              <w:jc w:val="center"/>
              <w:rPr>
                <w:rFonts w:hint="eastAsia" w:ascii="宋体" w:hAnsi="宋体"/>
                <w:szCs w:val="24"/>
              </w:rPr>
            </w:pPr>
            <w:r>
              <w:rPr>
                <w:rFonts w:ascii="宋体" w:hAnsi="宋体"/>
                <w:szCs w:val="24"/>
              </w:rPr>
              <w:t>NSX</w:t>
            </w:r>
            <w:r>
              <w:rPr>
                <w:rFonts w:hint="eastAsia" w:ascii="宋体" w:hAnsi="宋体"/>
                <w:szCs w:val="24"/>
              </w:rPr>
              <w:t>系列</w:t>
            </w:r>
          </w:p>
        </w:tc>
        <w:tc>
          <w:tcPr>
            <w:tcW w:w="1084" w:type="pct"/>
            <w:noWrap/>
            <w:vAlign w:val="center"/>
          </w:tcPr>
          <w:p w14:paraId="49665845">
            <w:pPr>
              <w:spacing w:line="240" w:lineRule="auto"/>
              <w:ind w:firstLine="0" w:firstLineChars="0"/>
              <w:jc w:val="center"/>
              <w:rPr>
                <w:rFonts w:hint="eastAsia" w:ascii="宋体" w:hAnsi="宋体"/>
                <w:szCs w:val="24"/>
              </w:rPr>
            </w:pPr>
            <w:r>
              <w:rPr>
                <w:rFonts w:ascii="宋体" w:hAnsi="宋体"/>
                <w:szCs w:val="24"/>
              </w:rPr>
              <w:t>SCHNEIDER</w:t>
            </w:r>
          </w:p>
        </w:tc>
        <w:tc>
          <w:tcPr>
            <w:tcW w:w="878" w:type="pct"/>
            <w:noWrap/>
            <w:vAlign w:val="center"/>
          </w:tcPr>
          <w:p w14:paraId="7655271B">
            <w:pPr>
              <w:spacing w:line="240" w:lineRule="auto"/>
              <w:ind w:firstLine="0" w:firstLineChars="0"/>
              <w:jc w:val="center"/>
              <w:rPr>
                <w:rFonts w:hint="eastAsia" w:ascii="宋体" w:hAnsi="宋体"/>
                <w:szCs w:val="24"/>
              </w:rPr>
            </w:pPr>
            <w:r>
              <w:rPr>
                <w:rFonts w:hint="eastAsia" w:ascii="宋体" w:hAnsi="宋体"/>
                <w:szCs w:val="24"/>
              </w:rPr>
              <w:t>电启动</w:t>
            </w:r>
          </w:p>
        </w:tc>
      </w:tr>
      <w:tr w14:paraId="6826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546305CE">
            <w:pPr>
              <w:spacing w:line="240" w:lineRule="auto"/>
              <w:ind w:firstLine="0" w:firstLineChars="0"/>
              <w:jc w:val="center"/>
              <w:rPr>
                <w:rFonts w:hint="eastAsia" w:ascii="宋体" w:hAnsi="宋体"/>
                <w:szCs w:val="24"/>
              </w:rPr>
            </w:pPr>
            <w:r>
              <w:rPr>
                <w:rFonts w:ascii="宋体" w:hAnsi="宋体"/>
                <w:szCs w:val="24"/>
              </w:rPr>
              <w:t>5</w:t>
            </w:r>
          </w:p>
        </w:tc>
        <w:tc>
          <w:tcPr>
            <w:tcW w:w="1493" w:type="pct"/>
            <w:vAlign w:val="center"/>
          </w:tcPr>
          <w:p w14:paraId="75E28301">
            <w:pPr>
              <w:spacing w:line="240" w:lineRule="auto"/>
              <w:ind w:firstLine="0" w:firstLineChars="0"/>
              <w:jc w:val="center"/>
              <w:rPr>
                <w:rFonts w:hint="eastAsia" w:ascii="宋体" w:hAnsi="宋体"/>
                <w:szCs w:val="24"/>
              </w:rPr>
            </w:pPr>
            <w:r>
              <w:rPr>
                <w:rFonts w:hint="eastAsia" w:ascii="宋体" w:hAnsi="宋体"/>
                <w:szCs w:val="24"/>
              </w:rPr>
              <w:t>空气开关</w:t>
            </w:r>
          </w:p>
        </w:tc>
        <w:tc>
          <w:tcPr>
            <w:tcW w:w="936" w:type="pct"/>
            <w:noWrap/>
            <w:vAlign w:val="center"/>
          </w:tcPr>
          <w:p w14:paraId="0DC8AF08">
            <w:pPr>
              <w:spacing w:line="240" w:lineRule="auto"/>
              <w:ind w:firstLine="0" w:firstLineChars="0"/>
              <w:jc w:val="center"/>
              <w:rPr>
                <w:rFonts w:hint="eastAsia" w:ascii="宋体" w:hAnsi="宋体"/>
                <w:szCs w:val="24"/>
              </w:rPr>
            </w:pPr>
            <w:r>
              <w:rPr>
                <w:rFonts w:ascii="宋体" w:hAnsi="宋体"/>
                <w:szCs w:val="24"/>
              </w:rPr>
              <w:t>GV2</w:t>
            </w:r>
            <w:r>
              <w:rPr>
                <w:rFonts w:hint="eastAsia" w:ascii="宋体" w:hAnsi="宋体"/>
                <w:szCs w:val="24"/>
              </w:rPr>
              <w:t>系列</w:t>
            </w:r>
          </w:p>
        </w:tc>
        <w:tc>
          <w:tcPr>
            <w:tcW w:w="1084" w:type="pct"/>
            <w:noWrap/>
            <w:vAlign w:val="center"/>
          </w:tcPr>
          <w:p w14:paraId="66EF8E82">
            <w:pPr>
              <w:spacing w:line="240" w:lineRule="auto"/>
              <w:ind w:firstLine="0" w:firstLineChars="0"/>
              <w:jc w:val="center"/>
            </w:pPr>
            <w:r>
              <w:rPr>
                <w:rFonts w:ascii="宋体" w:hAnsi="宋体"/>
                <w:szCs w:val="24"/>
              </w:rPr>
              <w:t>SCHNEIDER</w:t>
            </w:r>
          </w:p>
        </w:tc>
        <w:tc>
          <w:tcPr>
            <w:tcW w:w="878" w:type="pct"/>
            <w:noWrap/>
            <w:vAlign w:val="center"/>
          </w:tcPr>
          <w:p w14:paraId="0F3B11CF">
            <w:pPr>
              <w:spacing w:line="240" w:lineRule="auto"/>
              <w:ind w:firstLine="0" w:firstLineChars="0"/>
              <w:jc w:val="center"/>
              <w:rPr>
                <w:rFonts w:hint="eastAsia" w:ascii="宋体" w:hAnsi="宋体"/>
                <w:szCs w:val="24"/>
              </w:rPr>
            </w:pPr>
          </w:p>
        </w:tc>
      </w:tr>
      <w:tr w14:paraId="2077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358583B2">
            <w:pPr>
              <w:spacing w:line="240" w:lineRule="auto"/>
              <w:ind w:firstLine="0" w:firstLineChars="0"/>
              <w:jc w:val="center"/>
              <w:rPr>
                <w:rFonts w:hint="eastAsia" w:ascii="宋体" w:hAnsi="宋体"/>
                <w:szCs w:val="24"/>
              </w:rPr>
            </w:pPr>
            <w:r>
              <w:rPr>
                <w:rFonts w:ascii="宋体" w:hAnsi="宋体"/>
                <w:szCs w:val="24"/>
              </w:rPr>
              <w:t>6</w:t>
            </w:r>
          </w:p>
        </w:tc>
        <w:tc>
          <w:tcPr>
            <w:tcW w:w="1493" w:type="pct"/>
            <w:vAlign w:val="center"/>
          </w:tcPr>
          <w:p w14:paraId="5E1A13C3">
            <w:pPr>
              <w:spacing w:line="240" w:lineRule="auto"/>
              <w:ind w:firstLine="0" w:firstLineChars="0"/>
              <w:jc w:val="center"/>
              <w:rPr>
                <w:rFonts w:hint="eastAsia" w:ascii="宋体" w:hAnsi="宋体"/>
                <w:szCs w:val="24"/>
              </w:rPr>
            </w:pPr>
            <w:r>
              <w:rPr>
                <w:rFonts w:hint="eastAsia" w:ascii="宋体" w:hAnsi="宋体"/>
                <w:szCs w:val="24"/>
              </w:rPr>
              <w:t>交流接触器</w:t>
            </w:r>
          </w:p>
        </w:tc>
        <w:tc>
          <w:tcPr>
            <w:tcW w:w="936" w:type="pct"/>
            <w:noWrap/>
            <w:vAlign w:val="center"/>
          </w:tcPr>
          <w:p w14:paraId="29750059">
            <w:pPr>
              <w:spacing w:line="240" w:lineRule="auto"/>
              <w:ind w:firstLine="0" w:firstLineChars="0"/>
              <w:jc w:val="center"/>
              <w:rPr>
                <w:rFonts w:hint="eastAsia" w:ascii="宋体" w:hAnsi="宋体"/>
                <w:szCs w:val="24"/>
              </w:rPr>
            </w:pPr>
            <w:r>
              <w:rPr>
                <w:rFonts w:ascii="宋体" w:hAnsi="宋体"/>
                <w:szCs w:val="24"/>
              </w:rPr>
              <w:t>LC1</w:t>
            </w:r>
            <w:r>
              <w:rPr>
                <w:rFonts w:hint="eastAsia" w:ascii="宋体" w:hAnsi="宋体"/>
                <w:szCs w:val="24"/>
              </w:rPr>
              <w:t>系列</w:t>
            </w:r>
          </w:p>
        </w:tc>
        <w:tc>
          <w:tcPr>
            <w:tcW w:w="1084" w:type="pct"/>
            <w:noWrap/>
            <w:vAlign w:val="center"/>
          </w:tcPr>
          <w:p w14:paraId="089B2E60">
            <w:pPr>
              <w:spacing w:line="240" w:lineRule="auto"/>
              <w:ind w:firstLine="0" w:firstLineChars="0"/>
              <w:jc w:val="center"/>
            </w:pPr>
            <w:r>
              <w:rPr>
                <w:rFonts w:ascii="宋体" w:hAnsi="宋体"/>
                <w:szCs w:val="24"/>
              </w:rPr>
              <w:t>SCHNEIDER</w:t>
            </w:r>
          </w:p>
        </w:tc>
        <w:tc>
          <w:tcPr>
            <w:tcW w:w="878" w:type="pct"/>
            <w:noWrap/>
            <w:vAlign w:val="center"/>
          </w:tcPr>
          <w:p w14:paraId="444EDCC3">
            <w:pPr>
              <w:spacing w:line="240" w:lineRule="auto"/>
              <w:ind w:firstLine="0" w:firstLineChars="0"/>
              <w:jc w:val="center"/>
              <w:rPr>
                <w:rFonts w:hint="eastAsia" w:ascii="宋体" w:hAnsi="宋体"/>
                <w:szCs w:val="24"/>
              </w:rPr>
            </w:pPr>
          </w:p>
        </w:tc>
      </w:tr>
      <w:tr w14:paraId="12E2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33F40798">
            <w:pPr>
              <w:spacing w:line="240" w:lineRule="auto"/>
              <w:ind w:firstLine="0" w:firstLineChars="0"/>
              <w:jc w:val="center"/>
              <w:rPr>
                <w:rFonts w:hint="eastAsia" w:ascii="宋体" w:hAnsi="宋体"/>
                <w:szCs w:val="24"/>
              </w:rPr>
            </w:pPr>
            <w:r>
              <w:rPr>
                <w:rFonts w:ascii="宋体" w:hAnsi="宋体"/>
                <w:szCs w:val="24"/>
              </w:rPr>
              <w:t>7</w:t>
            </w:r>
          </w:p>
        </w:tc>
        <w:tc>
          <w:tcPr>
            <w:tcW w:w="1493" w:type="pct"/>
            <w:vAlign w:val="center"/>
          </w:tcPr>
          <w:p w14:paraId="33D425C4">
            <w:pPr>
              <w:spacing w:line="240" w:lineRule="auto"/>
              <w:ind w:firstLine="0" w:firstLineChars="0"/>
              <w:jc w:val="center"/>
              <w:rPr>
                <w:rFonts w:hint="eastAsia" w:ascii="宋体" w:hAnsi="宋体"/>
                <w:szCs w:val="24"/>
              </w:rPr>
            </w:pPr>
            <w:r>
              <w:rPr>
                <w:rFonts w:ascii="宋体" w:hAnsi="宋体"/>
                <w:szCs w:val="24"/>
              </w:rPr>
              <w:t>PROFINET</w:t>
            </w:r>
            <w:r>
              <w:rPr>
                <w:rFonts w:hint="eastAsia" w:ascii="宋体" w:hAnsi="宋体"/>
                <w:szCs w:val="24"/>
              </w:rPr>
              <w:t>网络电缆</w:t>
            </w:r>
          </w:p>
        </w:tc>
        <w:tc>
          <w:tcPr>
            <w:tcW w:w="936" w:type="pct"/>
            <w:noWrap/>
            <w:vAlign w:val="center"/>
          </w:tcPr>
          <w:p w14:paraId="6CB997FB">
            <w:pPr>
              <w:spacing w:line="240" w:lineRule="auto"/>
              <w:ind w:firstLine="0" w:firstLineChars="0"/>
              <w:jc w:val="center"/>
              <w:rPr>
                <w:rFonts w:hint="eastAsia" w:ascii="宋体" w:hAnsi="宋体"/>
                <w:szCs w:val="24"/>
              </w:rPr>
            </w:pPr>
          </w:p>
        </w:tc>
        <w:tc>
          <w:tcPr>
            <w:tcW w:w="1084" w:type="pct"/>
            <w:noWrap/>
            <w:vAlign w:val="center"/>
          </w:tcPr>
          <w:p w14:paraId="270878D6">
            <w:pPr>
              <w:spacing w:line="240" w:lineRule="auto"/>
              <w:ind w:firstLine="0" w:firstLineChars="0"/>
              <w:jc w:val="center"/>
              <w:rPr>
                <w:rFonts w:hint="eastAsia" w:ascii="宋体" w:hAnsi="宋体"/>
                <w:szCs w:val="24"/>
              </w:rPr>
            </w:pPr>
            <w:r>
              <w:rPr>
                <w:rFonts w:ascii="宋体" w:hAnsi="宋体"/>
                <w:szCs w:val="24"/>
              </w:rPr>
              <w:t>SIEMENS</w:t>
            </w:r>
          </w:p>
        </w:tc>
        <w:tc>
          <w:tcPr>
            <w:tcW w:w="878" w:type="pct"/>
            <w:noWrap/>
            <w:vAlign w:val="center"/>
          </w:tcPr>
          <w:p w14:paraId="0B107EF0">
            <w:pPr>
              <w:spacing w:line="240" w:lineRule="auto"/>
              <w:ind w:firstLine="0" w:firstLineChars="0"/>
              <w:jc w:val="center"/>
              <w:rPr>
                <w:rFonts w:hint="eastAsia" w:ascii="宋体" w:hAnsi="宋体"/>
                <w:szCs w:val="24"/>
              </w:rPr>
            </w:pPr>
          </w:p>
        </w:tc>
      </w:tr>
      <w:tr w14:paraId="549A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170E38A5">
            <w:pPr>
              <w:spacing w:line="240" w:lineRule="auto"/>
              <w:ind w:firstLine="0" w:firstLineChars="0"/>
              <w:jc w:val="center"/>
              <w:rPr>
                <w:rFonts w:hint="eastAsia" w:ascii="宋体" w:hAnsi="宋体"/>
                <w:szCs w:val="24"/>
              </w:rPr>
            </w:pPr>
            <w:r>
              <w:rPr>
                <w:rFonts w:ascii="宋体" w:hAnsi="宋体"/>
                <w:szCs w:val="24"/>
              </w:rPr>
              <w:t>8</w:t>
            </w:r>
          </w:p>
        </w:tc>
        <w:tc>
          <w:tcPr>
            <w:tcW w:w="1493" w:type="pct"/>
            <w:vAlign w:val="center"/>
          </w:tcPr>
          <w:p w14:paraId="179FC8F1">
            <w:pPr>
              <w:spacing w:line="240" w:lineRule="auto"/>
              <w:ind w:firstLine="0" w:firstLineChars="0"/>
              <w:jc w:val="center"/>
              <w:rPr>
                <w:rFonts w:hint="eastAsia" w:ascii="宋体" w:hAnsi="宋体"/>
                <w:szCs w:val="24"/>
              </w:rPr>
            </w:pPr>
            <w:r>
              <w:rPr>
                <w:rFonts w:hint="eastAsia" w:ascii="宋体" w:hAnsi="宋体"/>
                <w:szCs w:val="24"/>
              </w:rPr>
              <w:t>电缆、桥架及附件等</w:t>
            </w:r>
          </w:p>
        </w:tc>
        <w:tc>
          <w:tcPr>
            <w:tcW w:w="936" w:type="pct"/>
            <w:noWrap/>
            <w:vAlign w:val="center"/>
          </w:tcPr>
          <w:p w14:paraId="67EC8576">
            <w:pPr>
              <w:spacing w:line="240" w:lineRule="auto"/>
              <w:ind w:firstLine="0" w:firstLineChars="0"/>
              <w:jc w:val="center"/>
              <w:rPr>
                <w:rFonts w:hint="eastAsia" w:ascii="宋体" w:hAnsi="宋体"/>
                <w:szCs w:val="24"/>
              </w:rPr>
            </w:pPr>
          </w:p>
        </w:tc>
        <w:tc>
          <w:tcPr>
            <w:tcW w:w="1084" w:type="pct"/>
            <w:noWrap/>
            <w:vAlign w:val="center"/>
          </w:tcPr>
          <w:p w14:paraId="77C8FDBE">
            <w:pPr>
              <w:spacing w:line="240" w:lineRule="auto"/>
              <w:ind w:firstLine="0" w:firstLineChars="0"/>
              <w:jc w:val="center"/>
              <w:rPr>
                <w:rFonts w:hint="eastAsia" w:ascii="宋体" w:hAnsi="宋体"/>
                <w:szCs w:val="24"/>
              </w:rPr>
            </w:pPr>
            <w:r>
              <w:rPr>
                <w:rFonts w:hint="eastAsia" w:ascii="宋体" w:hAnsi="宋体"/>
                <w:szCs w:val="24"/>
              </w:rPr>
              <w:t>国产优质</w:t>
            </w:r>
          </w:p>
        </w:tc>
        <w:tc>
          <w:tcPr>
            <w:tcW w:w="878" w:type="pct"/>
            <w:noWrap/>
            <w:vAlign w:val="center"/>
          </w:tcPr>
          <w:p w14:paraId="74BB6838">
            <w:pPr>
              <w:spacing w:line="240" w:lineRule="auto"/>
              <w:ind w:firstLine="0" w:firstLineChars="0"/>
              <w:jc w:val="center"/>
              <w:rPr>
                <w:rFonts w:hint="eastAsia" w:ascii="宋体" w:hAnsi="宋体"/>
                <w:szCs w:val="24"/>
              </w:rPr>
            </w:pPr>
          </w:p>
        </w:tc>
      </w:tr>
      <w:tr w14:paraId="6000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35C3759D">
            <w:pPr>
              <w:spacing w:line="240" w:lineRule="auto"/>
              <w:ind w:firstLine="0" w:firstLineChars="0"/>
              <w:jc w:val="center"/>
              <w:rPr>
                <w:rFonts w:hint="eastAsia" w:ascii="宋体" w:hAnsi="宋体"/>
                <w:szCs w:val="24"/>
              </w:rPr>
            </w:pPr>
            <w:r>
              <w:rPr>
                <w:rFonts w:hint="eastAsia" w:ascii="宋体" w:hAnsi="宋体"/>
                <w:szCs w:val="24"/>
              </w:rPr>
              <w:t>9</w:t>
            </w:r>
          </w:p>
        </w:tc>
        <w:tc>
          <w:tcPr>
            <w:tcW w:w="1493" w:type="pct"/>
            <w:vAlign w:val="center"/>
          </w:tcPr>
          <w:p w14:paraId="2683D0B8">
            <w:pPr>
              <w:spacing w:line="240" w:lineRule="auto"/>
              <w:ind w:firstLine="0" w:firstLineChars="0"/>
              <w:jc w:val="center"/>
              <w:rPr>
                <w:rFonts w:hint="eastAsia" w:ascii="宋体" w:hAnsi="宋体"/>
                <w:szCs w:val="24"/>
              </w:rPr>
            </w:pPr>
            <w:r>
              <w:rPr>
                <w:rFonts w:hint="eastAsia" w:ascii="宋体" w:hAnsi="宋体" w:cs="宋体"/>
              </w:rPr>
              <w:t>电机</w:t>
            </w:r>
          </w:p>
        </w:tc>
        <w:tc>
          <w:tcPr>
            <w:tcW w:w="936" w:type="pct"/>
            <w:noWrap/>
            <w:vAlign w:val="center"/>
          </w:tcPr>
          <w:p w14:paraId="29EADDAA">
            <w:pPr>
              <w:spacing w:line="240" w:lineRule="auto"/>
              <w:ind w:firstLine="0" w:firstLineChars="0"/>
              <w:jc w:val="center"/>
              <w:rPr>
                <w:rFonts w:hint="eastAsia" w:ascii="宋体" w:hAnsi="宋体"/>
                <w:szCs w:val="24"/>
              </w:rPr>
            </w:pPr>
          </w:p>
        </w:tc>
        <w:tc>
          <w:tcPr>
            <w:tcW w:w="1084" w:type="pct"/>
            <w:noWrap/>
            <w:vAlign w:val="center"/>
          </w:tcPr>
          <w:p w14:paraId="32468CCA">
            <w:pPr>
              <w:spacing w:line="240" w:lineRule="auto"/>
              <w:ind w:firstLine="0" w:firstLineChars="0"/>
              <w:jc w:val="center"/>
              <w:rPr>
                <w:rFonts w:hint="eastAsia" w:ascii="宋体" w:hAnsi="宋体"/>
                <w:szCs w:val="24"/>
              </w:rPr>
            </w:pPr>
            <w:r>
              <w:rPr>
                <w:rFonts w:ascii="宋体" w:hAnsi="宋体" w:cs="宋体"/>
              </w:rPr>
              <w:t>SEW</w:t>
            </w:r>
          </w:p>
        </w:tc>
        <w:tc>
          <w:tcPr>
            <w:tcW w:w="878" w:type="pct"/>
            <w:noWrap/>
            <w:vAlign w:val="center"/>
          </w:tcPr>
          <w:p w14:paraId="5793E68A">
            <w:pPr>
              <w:spacing w:line="240" w:lineRule="auto"/>
              <w:ind w:firstLine="0" w:firstLineChars="0"/>
              <w:jc w:val="center"/>
              <w:rPr>
                <w:rFonts w:hint="eastAsia" w:ascii="宋体" w:hAnsi="宋体"/>
                <w:szCs w:val="24"/>
              </w:rPr>
            </w:pPr>
          </w:p>
        </w:tc>
      </w:tr>
      <w:tr w14:paraId="42A4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021AB7CF">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0</w:t>
            </w:r>
          </w:p>
        </w:tc>
        <w:tc>
          <w:tcPr>
            <w:tcW w:w="1493" w:type="pct"/>
            <w:vAlign w:val="center"/>
          </w:tcPr>
          <w:p w14:paraId="560A33C0">
            <w:pPr>
              <w:spacing w:line="240" w:lineRule="auto"/>
              <w:ind w:firstLine="0" w:firstLineChars="0"/>
              <w:jc w:val="center"/>
              <w:rPr>
                <w:rFonts w:hint="eastAsia" w:ascii="宋体" w:hAnsi="宋体"/>
                <w:szCs w:val="24"/>
              </w:rPr>
            </w:pPr>
            <w:r>
              <w:rPr>
                <w:rFonts w:hint="eastAsia" w:ascii="宋体" w:hAnsi="宋体" w:cs="宋体"/>
              </w:rPr>
              <w:t>同步带</w:t>
            </w:r>
          </w:p>
        </w:tc>
        <w:tc>
          <w:tcPr>
            <w:tcW w:w="936" w:type="pct"/>
            <w:noWrap/>
            <w:vAlign w:val="center"/>
          </w:tcPr>
          <w:p w14:paraId="60702564">
            <w:pPr>
              <w:spacing w:line="240" w:lineRule="auto"/>
              <w:ind w:firstLine="0" w:firstLineChars="0"/>
              <w:jc w:val="center"/>
              <w:rPr>
                <w:rFonts w:hint="eastAsia" w:ascii="宋体" w:hAnsi="宋体"/>
                <w:szCs w:val="24"/>
              </w:rPr>
            </w:pPr>
          </w:p>
        </w:tc>
        <w:tc>
          <w:tcPr>
            <w:tcW w:w="1084" w:type="pct"/>
            <w:noWrap/>
            <w:vAlign w:val="center"/>
          </w:tcPr>
          <w:p w14:paraId="49575999">
            <w:pPr>
              <w:spacing w:line="240" w:lineRule="auto"/>
              <w:ind w:firstLine="0" w:firstLineChars="0"/>
              <w:jc w:val="center"/>
              <w:rPr>
                <w:rFonts w:hint="eastAsia" w:ascii="宋体" w:hAnsi="宋体"/>
                <w:szCs w:val="24"/>
              </w:rPr>
            </w:pPr>
            <w:r>
              <w:rPr>
                <w:rFonts w:hint="eastAsia" w:ascii="宋体" w:hAnsi="宋体" w:cs="宋体"/>
              </w:rPr>
              <w:t>麦高迪</w:t>
            </w:r>
          </w:p>
        </w:tc>
        <w:tc>
          <w:tcPr>
            <w:tcW w:w="878" w:type="pct"/>
            <w:noWrap/>
            <w:vAlign w:val="center"/>
          </w:tcPr>
          <w:p w14:paraId="37152E7B">
            <w:pPr>
              <w:spacing w:line="240" w:lineRule="auto"/>
              <w:ind w:firstLine="0" w:firstLineChars="0"/>
              <w:jc w:val="center"/>
              <w:rPr>
                <w:rFonts w:hint="eastAsia" w:ascii="宋体" w:hAnsi="宋体"/>
                <w:szCs w:val="24"/>
              </w:rPr>
            </w:pPr>
          </w:p>
        </w:tc>
      </w:tr>
      <w:tr w14:paraId="0E32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4C414952">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1</w:t>
            </w:r>
          </w:p>
        </w:tc>
        <w:tc>
          <w:tcPr>
            <w:tcW w:w="1493" w:type="pct"/>
            <w:vAlign w:val="center"/>
          </w:tcPr>
          <w:p w14:paraId="7FA6AA93">
            <w:pPr>
              <w:spacing w:line="240" w:lineRule="auto"/>
              <w:ind w:firstLine="0" w:firstLineChars="0"/>
              <w:jc w:val="center"/>
              <w:rPr>
                <w:rFonts w:hint="eastAsia" w:ascii="宋体" w:hAnsi="宋体"/>
                <w:szCs w:val="24"/>
              </w:rPr>
            </w:pPr>
            <w:r>
              <w:rPr>
                <w:rFonts w:ascii="宋体" w:hAnsi="宋体" w:cs="宋体"/>
              </w:rPr>
              <w:t>可编程控制器</w:t>
            </w:r>
          </w:p>
        </w:tc>
        <w:tc>
          <w:tcPr>
            <w:tcW w:w="936" w:type="pct"/>
            <w:noWrap/>
            <w:vAlign w:val="center"/>
          </w:tcPr>
          <w:p w14:paraId="37EAB6CC">
            <w:pPr>
              <w:spacing w:line="240" w:lineRule="auto"/>
              <w:ind w:firstLine="0" w:firstLineChars="0"/>
              <w:jc w:val="center"/>
              <w:rPr>
                <w:rFonts w:hint="eastAsia" w:ascii="宋体" w:hAnsi="宋体"/>
                <w:szCs w:val="24"/>
              </w:rPr>
            </w:pPr>
          </w:p>
        </w:tc>
        <w:tc>
          <w:tcPr>
            <w:tcW w:w="1084" w:type="pct"/>
            <w:noWrap/>
            <w:vAlign w:val="center"/>
          </w:tcPr>
          <w:p w14:paraId="42739171">
            <w:pPr>
              <w:spacing w:line="240" w:lineRule="auto"/>
              <w:ind w:firstLine="0" w:firstLineChars="0"/>
              <w:jc w:val="center"/>
              <w:rPr>
                <w:rFonts w:hint="eastAsia" w:ascii="宋体" w:hAnsi="宋体"/>
                <w:szCs w:val="24"/>
              </w:rPr>
            </w:pPr>
            <w:r>
              <w:rPr>
                <w:rFonts w:ascii="宋体" w:hAnsi="宋体" w:cs="宋体"/>
              </w:rPr>
              <w:t>SIEMENS</w:t>
            </w:r>
          </w:p>
        </w:tc>
        <w:tc>
          <w:tcPr>
            <w:tcW w:w="878" w:type="pct"/>
            <w:noWrap/>
            <w:vAlign w:val="center"/>
          </w:tcPr>
          <w:p w14:paraId="669F7404">
            <w:pPr>
              <w:spacing w:line="240" w:lineRule="auto"/>
              <w:ind w:firstLine="0" w:firstLineChars="0"/>
              <w:jc w:val="center"/>
              <w:rPr>
                <w:rFonts w:hint="eastAsia" w:ascii="宋体" w:hAnsi="宋体"/>
                <w:szCs w:val="24"/>
              </w:rPr>
            </w:pPr>
          </w:p>
        </w:tc>
      </w:tr>
      <w:tr w14:paraId="786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474D199F">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2</w:t>
            </w:r>
          </w:p>
        </w:tc>
        <w:tc>
          <w:tcPr>
            <w:tcW w:w="1493" w:type="pct"/>
            <w:vAlign w:val="center"/>
          </w:tcPr>
          <w:p w14:paraId="73DCD3FB">
            <w:pPr>
              <w:spacing w:line="240" w:lineRule="auto"/>
              <w:ind w:firstLine="0" w:firstLineChars="0"/>
              <w:jc w:val="center"/>
              <w:rPr>
                <w:rFonts w:hint="eastAsia" w:ascii="宋体" w:hAnsi="宋体"/>
                <w:szCs w:val="24"/>
              </w:rPr>
            </w:pPr>
            <w:r>
              <w:rPr>
                <w:rFonts w:hint="eastAsia" w:ascii="宋体" w:hAnsi="宋体" w:cs="宋体"/>
              </w:rPr>
              <w:t>触摸屏</w:t>
            </w:r>
          </w:p>
        </w:tc>
        <w:tc>
          <w:tcPr>
            <w:tcW w:w="936" w:type="pct"/>
            <w:noWrap/>
            <w:vAlign w:val="center"/>
          </w:tcPr>
          <w:p w14:paraId="79BD419C">
            <w:pPr>
              <w:spacing w:line="240" w:lineRule="auto"/>
              <w:ind w:firstLine="0" w:firstLineChars="0"/>
              <w:rPr>
                <w:rFonts w:hint="eastAsia" w:ascii="宋体" w:hAnsi="宋体"/>
                <w:szCs w:val="24"/>
              </w:rPr>
            </w:pPr>
          </w:p>
        </w:tc>
        <w:tc>
          <w:tcPr>
            <w:tcW w:w="1084" w:type="pct"/>
            <w:noWrap/>
            <w:vAlign w:val="center"/>
          </w:tcPr>
          <w:p w14:paraId="6C8B0092">
            <w:pPr>
              <w:spacing w:line="240" w:lineRule="auto"/>
              <w:ind w:firstLine="0" w:firstLineChars="0"/>
              <w:jc w:val="center"/>
              <w:rPr>
                <w:rFonts w:hint="eastAsia" w:ascii="宋体" w:hAnsi="宋体"/>
                <w:szCs w:val="24"/>
              </w:rPr>
            </w:pPr>
            <w:r>
              <w:rPr>
                <w:rFonts w:ascii="宋体" w:hAnsi="宋体" w:cs="宋体"/>
              </w:rPr>
              <w:t xml:space="preserve">SIEMENS </w:t>
            </w:r>
          </w:p>
        </w:tc>
        <w:tc>
          <w:tcPr>
            <w:tcW w:w="878" w:type="pct"/>
            <w:noWrap/>
            <w:vAlign w:val="center"/>
          </w:tcPr>
          <w:p w14:paraId="2BA1C778">
            <w:pPr>
              <w:spacing w:line="240" w:lineRule="auto"/>
              <w:ind w:firstLine="0" w:firstLineChars="0"/>
              <w:jc w:val="center"/>
              <w:rPr>
                <w:rFonts w:hint="eastAsia" w:ascii="宋体" w:hAnsi="宋体"/>
                <w:szCs w:val="24"/>
              </w:rPr>
            </w:pPr>
          </w:p>
        </w:tc>
      </w:tr>
      <w:tr w14:paraId="1AFF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2FDFC20A">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3</w:t>
            </w:r>
          </w:p>
        </w:tc>
        <w:tc>
          <w:tcPr>
            <w:tcW w:w="1493" w:type="pct"/>
            <w:vAlign w:val="center"/>
          </w:tcPr>
          <w:p w14:paraId="3623B61A">
            <w:pPr>
              <w:spacing w:line="240" w:lineRule="auto"/>
              <w:ind w:firstLine="0" w:firstLineChars="0"/>
              <w:jc w:val="center"/>
              <w:rPr>
                <w:rFonts w:hint="eastAsia" w:ascii="宋体" w:hAnsi="宋体"/>
                <w:szCs w:val="24"/>
              </w:rPr>
            </w:pPr>
            <w:r>
              <w:rPr>
                <w:rFonts w:ascii="宋体" w:hAnsi="宋体" w:cs="宋体"/>
              </w:rPr>
              <w:t>直流电源</w:t>
            </w:r>
          </w:p>
        </w:tc>
        <w:tc>
          <w:tcPr>
            <w:tcW w:w="936" w:type="pct"/>
            <w:noWrap/>
            <w:vAlign w:val="center"/>
          </w:tcPr>
          <w:p w14:paraId="130DCD54">
            <w:pPr>
              <w:spacing w:line="240" w:lineRule="auto"/>
              <w:ind w:firstLine="0" w:firstLineChars="0"/>
              <w:rPr>
                <w:rFonts w:hint="eastAsia" w:ascii="宋体" w:hAnsi="宋体"/>
                <w:szCs w:val="24"/>
              </w:rPr>
            </w:pPr>
          </w:p>
        </w:tc>
        <w:tc>
          <w:tcPr>
            <w:tcW w:w="1084" w:type="pct"/>
            <w:noWrap/>
            <w:vAlign w:val="center"/>
          </w:tcPr>
          <w:p w14:paraId="138AC6BE">
            <w:pPr>
              <w:spacing w:line="240" w:lineRule="auto"/>
              <w:ind w:firstLine="0" w:firstLineChars="0"/>
              <w:jc w:val="center"/>
              <w:rPr>
                <w:rFonts w:hint="eastAsia" w:ascii="宋体" w:hAnsi="宋体"/>
                <w:szCs w:val="24"/>
              </w:rPr>
            </w:pPr>
            <w:r>
              <w:rPr>
                <w:rFonts w:ascii="宋体" w:hAnsi="宋体" w:cs="宋体"/>
              </w:rPr>
              <w:t>MW</w:t>
            </w:r>
          </w:p>
        </w:tc>
        <w:tc>
          <w:tcPr>
            <w:tcW w:w="878" w:type="pct"/>
            <w:noWrap/>
            <w:vAlign w:val="center"/>
          </w:tcPr>
          <w:p w14:paraId="4DF7157A">
            <w:pPr>
              <w:spacing w:line="240" w:lineRule="auto"/>
              <w:ind w:firstLine="0" w:firstLineChars="0"/>
              <w:jc w:val="center"/>
              <w:rPr>
                <w:rFonts w:hint="eastAsia" w:ascii="宋体" w:hAnsi="宋体"/>
                <w:szCs w:val="24"/>
              </w:rPr>
            </w:pPr>
          </w:p>
        </w:tc>
      </w:tr>
      <w:tr w14:paraId="1B4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647B24B3">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4</w:t>
            </w:r>
          </w:p>
        </w:tc>
        <w:tc>
          <w:tcPr>
            <w:tcW w:w="1493" w:type="pct"/>
            <w:vAlign w:val="center"/>
          </w:tcPr>
          <w:p w14:paraId="633BC283">
            <w:pPr>
              <w:spacing w:line="240" w:lineRule="auto"/>
              <w:ind w:firstLine="0" w:firstLineChars="0"/>
              <w:jc w:val="center"/>
              <w:rPr>
                <w:rFonts w:hint="eastAsia" w:ascii="宋体" w:hAnsi="宋体"/>
                <w:szCs w:val="24"/>
              </w:rPr>
            </w:pPr>
            <w:r>
              <w:rPr>
                <w:rFonts w:ascii="宋体" w:hAnsi="宋体" w:cs="宋体"/>
              </w:rPr>
              <w:t>触摸屏</w:t>
            </w:r>
          </w:p>
        </w:tc>
        <w:tc>
          <w:tcPr>
            <w:tcW w:w="936" w:type="pct"/>
            <w:noWrap/>
            <w:vAlign w:val="center"/>
          </w:tcPr>
          <w:p w14:paraId="06A2137B">
            <w:pPr>
              <w:spacing w:line="240" w:lineRule="auto"/>
              <w:ind w:firstLine="0" w:firstLineChars="0"/>
              <w:rPr>
                <w:rFonts w:hint="eastAsia" w:ascii="宋体" w:hAnsi="宋体"/>
                <w:szCs w:val="24"/>
              </w:rPr>
            </w:pPr>
          </w:p>
        </w:tc>
        <w:tc>
          <w:tcPr>
            <w:tcW w:w="1084" w:type="pct"/>
            <w:noWrap/>
            <w:vAlign w:val="center"/>
          </w:tcPr>
          <w:p w14:paraId="12D1FAC7">
            <w:pPr>
              <w:spacing w:line="240" w:lineRule="auto"/>
              <w:ind w:firstLine="0" w:firstLineChars="0"/>
              <w:jc w:val="center"/>
              <w:rPr>
                <w:rFonts w:hint="eastAsia" w:ascii="宋体" w:hAnsi="宋体"/>
                <w:szCs w:val="24"/>
              </w:rPr>
            </w:pPr>
            <w:r>
              <w:rPr>
                <w:rFonts w:ascii="宋体" w:hAnsi="宋体" w:cs="宋体"/>
              </w:rPr>
              <w:t>SIEMENS</w:t>
            </w:r>
          </w:p>
        </w:tc>
        <w:tc>
          <w:tcPr>
            <w:tcW w:w="878" w:type="pct"/>
            <w:noWrap/>
            <w:vAlign w:val="center"/>
          </w:tcPr>
          <w:p w14:paraId="1C8E5466">
            <w:pPr>
              <w:spacing w:line="240" w:lineRule="auto"/>
              <w:ind w:firstLine="0" w:firstLineChars="0"/>
              <w:jc w:val="center"/>
              <w:rPr>
                <w:rFonts w:hint="eastAsia" w:ascii="宋体" w:hAnsi="宋体"/>
                <w:szCs w:val="24"/>
              </w:rPr>
            </w:pPr>
          </w:p>
        </w:tc>
      </w:tr>
      <w:tr w14:paraId="5C71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4AFE4A78">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5</w:t>
            </w:r>
          </w:p>
        </w:tc>
        <w:tc>
          <w:tcPr>
            <w:tcW w:w="1493" w:type="pct"/>
            <w:vAlign w:val="center"/>
          </w:tcPr>
          <w:p w14:paraId="187BC153">
            <w:pPr>
              <w:spacing w:line="240" w:lineRule="auto"/>
              <w:ind w:firstLine="0" w:firstLineChars="0"/>
              <w:jc w:val="center"/>
              <w:rPr>
                <w:rFonts w:hint="eastAsia" w:ascii="宋体" w:hAnsi="宋体"/>
                <w:szCs w:val="24"/>
              </w:rPr>
            </w:pPr>
            <w:r>
              <w:rPr>
                <w:rFonts w:ascii="宋体" w:hAnsi="宋体" w:cs="宋体"/>
              </w:rPr>
              <w:t>变频器</w:t>
            </w:r>
          </w:p>
        </w:tc>
        <w:tc>
          <w:tcPr>
            <w:tcW w:w="936" w:type="pct"/>
            <w:noWrap/>
            <w:vAlign w:val="center"/>
          </w:tcPr>
          <w:p w14:paraId="5EB45DEC">
            <w:pPr>
              <w:spacing w:line="240" w:lineRule="auto"/>
              <w:ind w:firstLine="0" w:firstLineChars="0"/>
              <w:rPr>
                <w:rFonts w:hint="eastAsia" w:ascii="宋体" w:hAnsi="宋体"/>
                <w:szCs w:val="24"/>
              </w:rPr>
            </w:pPr>
          </w:p>
        </w:tc>
        <w:tc>
          <w:tcPr>
            <w:tcW w:w="1084" w:type="pct"/>
            <w:noWrap/>
            <w:vAlign w:val="center"/>
          </w:tcPr>
          <w:p w14:paraId="48841F98">
            <w:pPr>
              <w:spacing w:line="240" w:lineRule="auto"/>
              <w:ind w:firstLine="0" w:firstLineChars="0"/>
              <w:jc w:val="center"/>
              <w:rPr>
                <w:rFonts w:hint="eastAsia" w:ascii="宋体" w:hAnsi="宋体"/>
                <w:szCs w:val="24"/>
              </w:rPr>
            </w:pPr>
            <w:r>
              <w:rPr>
                <w:rFonts w:hint="eastAsia" w:ascii="宋体" w:hAnsi="宋体" w:cs="宋体"/>
              </w:rPr>
              <w:t>施耐德</w:t>
            </w:r>
          </w:p>
        </w:tc>
        <w:tc>
          <w:tcPr>
            <w:tcW w:w="878" w:type="pct"/>
            <w:noWrap/>
            <w:vAlign w:val="center"/>
          </w:tcPr>
          <w:p w14:paraId="0FBCE389">
            <w:pPr>
              <w:spacing w:line="240" w:lineRule="auto"/>
              <w:ind w:firstLine="0" w:firstLineChars="0"/>
              <w:jc w:val="center"/>
              <w:rPr>
                <w:rFonts w:hint="eastAsia" w:ascii="宋体" w:hAnsi="宋体"/>
                <w:szCs w:val="24"/>
              </w:rPr>
            </w:pPr>
          </w:p>
        </w:tc>
      </w:tr>
      <w:tr w14:paraId="4FE1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13C6CA6B">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6</w:t>
            </w:r>
          </w:p>
        </w:tc>
        <w:tc>
          <w:tcPr>
            <w:tcW w:w="1493" w:type="pct"/>
            <w:vAlign w:val="center"/>
          </w:tcPr>
          <w:p w14:paraId="4C503679">
            <w:pPr>
              <w:spacing w:line="240" w:lineRule="auto"/>
              <w:ind w:firstLine="0" w:firstLineChars="0"/>
              <w:jc w:val="center"/>
              <w:rPr>
                <w:rFonts w:hint="eastAsia" w:ascii="宋体" w:hAnsi="宋体"/>
                <w:szCs w:val="24"/>
              </w:rPr>
            </w:pPr>
            <w:r>
              <w:rPr>
                <w:rFonts w:ascii="宋体" w:hAnsi="宋体" w:cs="宋体"/>
              </w:rPr>
              <w:t>断路器</w:t>
            </w:r>
          </w:p>
        </w:tc>
        <w:tc>
          <w:tcPr>
            <w:tcW w:w="936" w:type="pct"/>
            <w:noWrap/>
            <w:vAlign w:val="center"/>
          </w:tcPr>
          <w:p w14:paraId="3C46A45D">
            <w:pPr>
              <w:spacing w:line="240" w:lineRule="auto"/>
              <w:ind w:firstLine="0" w:firstLineChars="0"/>
              <w:rPr>
                <w:rFonts w:hint="eastAsia" w:ascii="宋体" w:hAnsi="宋体"/>
                <w:szCs w:val="24"/>
              </w:rPr>
            </w:pPr>
          </w:p>
        </w:tc>
        <w:tc>
          <w:tcPr>
            <w:tcW w:w="1084" w:type="pct"/>
            <w:noWrap/>
            <w:vAlign w:val="center"/>
          </w:tcPr>
          <w:p w14:paraId="7D1C468B">
            <w:pPr>
              <w:spacing w:line="240" w:lineRule="auto"/>
              <w:ind w:firstLine="0" w:firstLineChars="0"/>
              <w:jc w:val="center"/>
              <w:rPr>
                <w:rFonts w:hint="eastAsia" w:ascii="宋体" w:hAnsi="宋体"/>
                <w:szCs w:val="24"/>
              </w:rPr>
            </w:pPr>
            <w:r>
              <w:rPr>
                <w:rFonts w:hint="eastAsia" w:ascii="宋体" w:hAnsi="宋体" w:cs="宋体"/>
              </w:rPr>
              <w:t>SCHNEIDER</w:t>
            </w:r>
          </w:p>
        </w:tc>
        <w:tc>
          <w:tcPr>
            <w:tcW w:w="878" w:type="pct"/>
            <w:noWrap/>
            <w:vAlign w:val="center"/>
          </w:tcPr>
          <w:p w14:paraId="40CB3CA1">
            <w:pPr>
              <w:spacing w:line="240" w:lineRule="auto"/>
              <w:ind w:firstLine="0" w:firstLineChars="0"/>
              <w:jc w:val="center"/>
              <w:rPr>
                <w:rFonts w:hint="eastAsia" w:ascii="宋体" w:hAnsi="宋体"/>
                <w:szCs w:val="24"/>
              </w:rPr>
            </w:pPr>
          </w:p>
        </w:tc>
      </w:tr>
      <w:tr w14:paraId="1EE5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23F55104">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7</w:t>
            </w:r>
          </w:p>
        </w:tc>
        <w:tc>
          <w:tcPr>
            <w:tcW w:w="1493" w:type="pct"/>
            <w:vAlign w:val="center"/>
          </w:tcPr>
          <w:p w14:paraId="1531D475">
            <w:pPr>
              <w:spacing w:line="240" w:lineRule="auto"/>
              <w:ind w:firstLine="0" w:firstLineChars="0"/>
              <w:jc w:val="center"/>
              <w:rPr>
                <w:rFonts w:hint="eastAsia" w:ascii="宋体" w:hAnsi="宋体" w:cs="宋体"/>
              </w:rPr>
            </w:pPr>
            <w:r>
              <w:rPr>
                <w:rFonts w:ascii="宋体" w:hAnsi="宋体" w:cs="宋体"/>
              </w:rPr>
              <w:t>行程开关</w:t>
            </w:r>
          </w:p>
        </w:tc>
        <w:tc>
          <w:tcPr>
            <w:tcW w:w="936" w:type="pct"/>
            <w:noWrap/>
            <w:vAlign w:val="center"/>
          </w:tcPr>
          <w:p w14:paraId="33B0435A">
            <w:pPr>
              <w:spacing w:line="240" w:lineRule="auto"/>
              <w:ind w:firstLine="0" w:firstLineChars="0"/>
              <w:rPr>
                <w:rFonts w:hint="eastAsia" w:ascii="宋体" w:hAnsi="宋体" w:cs="宋体"/>
              </w:rPr>
            </w:pPr>
          </w:p>
        </w:tc>
        <w:tc>
          <w:tcPr>
            <w:tcW w:w="1084" w:type="pct"/>
            <w:noWrap/>
            <w:vAlign w:val="center"/>
          </w:tcPr>
          <w:p w14:paraId="0C14AC0A">
            <w:pPr>
              <w:spacing w:line="240" w:lineRule="auto"/>
              <w:ind w:firstLine="0" w:firstLineChars="0"/>
              <w:jc w:val="center"/>
              <w:rPr>
                <w:rFonts w:hint="eastAsia" w:ascii="宋体" w:hAnsi="宋体"/>
                <w:szCs w:val="24"/>
              </w:rPr>
            </w:pPr>
            <w:r>
              <w:rPr>
                <w:rFonts w:hint="eastAsia" w:ascii="宋体" w:hAnsi="宋体" w:cs="宋体"/>
              </w:rPr>
              <w:t>OMRON</w:t>
            </w:r>
          </w:p>
        </w:tc>
        <w:tc>
          <w:tcPr>
            <w:tcW w:w="878" w:type="pct"/>
            <w:noWrap/>
            <w:vAlign w:val="center"/>
          </w:tcPr>
          <w:p w14:paraId="1018B508">
            <w:pPr>
              <w:spacing w:line="240" w:lineRule="auto"/>
              <w:ind w:firstLine="0" w:firstLineChars="0"/>
              <w:jc w:val="center"/>
              <w:rPr>
                <w:rFonts w:hint="eastAsia" w:ascii="宋体" w:hAnsi="宋体"/>
                <w:szCs w:val="24"/>
              </w:rPr>
            </w:pPr>
          </w:p>
        </w:tc>
      </w:tr>
      <w:tr w14:paraId="0122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6C1C6338">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8</w:t>
            </w:r>
          </w:p>
        </w:tc>
        <w:tc>
          <w:tcPr>
            <w:tcW w:w="1493" w:type="pct"/>
            <w:vAlign w:val="center"/>
          </w:tcPr>
          <w:p w14:paraId="1817472B">
            <w:pPr>
              <w:spacing w:line="240" w:lineRule="auto"/>
              <w:ind w:firstLine="0" w:firstLineChars="0"/>
              <w:jc w:val="center"/>
              <w:rPr>
                <w:rFonts w:hint="eastAsia" w:ascii="宋体" w:hAnsi="宋体" w:cs="宋体"/>
              </w:rPr>
            </w:pPr>
            <w:r>
              <w:rPr>
                <w:rFonts w:ascii="宋体" w:hAnsi="宋体" w:cs="宋体"/>
              </w:rPr>
              <w:t>光电开关</w:t>
            </w:r>
          </w:p>
        </w:tc>
        <w:tc>
          <w:tcPr>
            <w:tcW w:w="936" w:type="pct"/>
            <w:noWrap/>
            <w:vAlign w:val="center"/>
          </w:tcPr>
          <w:p w14:paraId="5011FEC8">
            <w:pPr>
              <w:spacing w:line="240" w:lineRule="auto"/>
              <w:ind w:firstLine="0" w:firstLineChars="0"/>
              <w:rPr>
                <w:rFonts w:hint="eastAsia" w:ascii="宋体" w:hAnsi="宋体" w:cs="宋体"/>
              </w:rPr>
            </w:pPr>
          </w:p>
        </w:tc>
        <w:tc>
          <w:tcPr>
            <w:tcW w:w="1084" w:type="pct"/>
            <w:noWrap/>
            <w:vAlign w:val="center"/>
          </w:tcPr>
          <w:p w14:paraId="5D682768">
            <w:pPr>
              <w:spacing w:line="240" w:lineRule="auto"/>
              <w:ind w:firstLine="0" w:firstLineChars="0"/>
              <w:jc w:val="center"/>
              <w:rPr>
                <w:rFonts w:hint="eastAsia" w:ascii="宋体" w:hAnsi="宋体"/>
                <w:szCs w:val="24"/>
              </w:rPr>
            </w:pPr>
            <w:r>
              <w:rPr>
                <w:rFonts w:ascii="宋体" w:hAnsi="宋体" w:cs="宋体"/>
              </w:rPr>
              <w:t>SICK</w:t>
            </w:r>
          </w:p>
        </w:tc>
        <w:tc>
          <w:tcPr>
            <w:tcW w:w="878" w:type="pct"/>
            <w:noWrap/>
            <w:vAlign w:val="center"/>
          </w:tcPr>
          <w:p w14:paraId="7FBC9812">
            <w:pPr>
              <w:spacing w:line="240" w:lineRule="auto"/>
              <w:ind w:firstLine="0" w:firstLineChars="0"/>
              <w:jc w:val="center"/>
              <w:rPr>
                <w:rFonts w:hint="eastAsia" w:ascii="宋体" w:hAnsi="宋体"/>
                <w:szCs w:val="24"/>
              </w:rPr>
            </w:pPr>
          </w:p>
        </w:tc>
      </w:tr>
      <w:tr w14:paraId="10CE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08" w:type="pct"/>
            <w:noWrap/>
            <w:vAlign w:val="center"/>
          </w:tcPr>
          <w:p w14:paraId="3158466F">
            <w:pPr>
              <w:spacing w:line="240" w:lineRule="auto"/>
              <w:ind w:firstLine="0" w:firstLineChars="0"/>
              <w:jc w:val="center"/>
              <w:rPr>
                <w:rFonts w:hint="eastAsia" w:ascii="宋体" w:hAnsi="宋体"/>
                <w:szCs w:val="24"/>
              </w:rPr>
            </w:pPr>
            <w:r>
              <w:rPr>
                <w:rFonts w:hint="eastAsia" w:ascii="宋体" w:hAnsi="宋体"/>
                <w:szCs w:val="24"/>
              </w:rPr>
              <w:t>1</w:t>
            </w:r>
            <w:r>
              <w:rPr>
                <w:rFonts w:ascii="宋体" w:hAnsi="宋体"/>
                <w:szCs w:val="24"/>
              </w:rPr>
              <w:t>9</w:t>
            </w:r>
          </w:p>
        </w:tc>
        <w:tc>
          <w:tcPr>
            <w:tcW w:w="1493" w:type="pct"/>
            <w:vAlign w:val="center"/>
          </w:tcPr>
          <w:p w14:paraId="2292D1D1">
            <w:pPr>
              <w:spacing w:line="240" w:lineRule="auto"/>
              <w:ind w:firstLine="0" w:firstLineChars="0"/>
              <w:jc w:val="center"/>
              <w:rPr>
                <w:rFonts w:hint="eastAsia" w:ascii="宋体" w:hAnsi="宋体" w:cs="宋体"/>
              </w:rPr>
            </w:pPr>
            <w:r>
              <w:rPr>
                <w:rFonts w:ascii="宋体" w:hAnsi="宋体" w:cs="宋体"/>
              </w:rPr>
              <w:t>激光测距仪</w:t>
            </w:r>
          </w:p>
        </w:tc>
        <w:tc>
          <w:tcPr>
            <w:tcW w:w="936" w:type="pct"/>
            <w:noWrap/>
            <w:vAlign w:val="center"/>
          </w:tcPr>
          <w:p w14:paraId="7587F476">
            <w:pPr>
              <w:spacing w:line="240" w:lineRule="auto"/>
              <w:ind w:firstLine="0" w:firstLineChars="0"/>
              <w:rPr>
                <w:rFonts w:hint="eastAsia" w:ascii="宋体" w:hAnsi="宋体" w:cs="宋体"/>
              </w:rPr>
            </w:pPr>
          </w:p>
        </w:tc>
        <w:tc>
          <w:tcPr>
            <w:tcW w:w="1084" w:type="pct"/>
            <w:noWrap/>
            <w:vAlign w:val="center"/>
          </w:tcPr>
          <w:p w14:paraId="7BBA3788">
            <w:pPr>
              <w:spacing w:line="240" w:lineRule="auto"/>
              <w:ind w:firstLine="0" w:firstLineChars="0"/>
              <w:jc w:val="center"/>
              <w:rPr>
                <w:rFonts w:hint="eastAsia" w:ascii="宋体" w:hAnsi="宋体"/>
                <w:szCs w:val="24"/>
              </w:rPr>
            </w:pPr>
            <w:r>
              <w:rPr>
                <w:rFonts w:ascii="宋体" w:hAnsi="宋体" w:cs="宋体"/>
              </w:rPr>
              <w:t>LEUZE</w:t>
            </w:r>
          </w:p>
        </w:tc>
        <w:tc>
          <w:tcPr>
            <w:tcW w:w="878" w:type="pct"/>
            <w:noWrap/>
            <w:vAlign w:val="center"/>
          </w:tcPr>
          <w:p w14:paraId="31F14AC7">
            <w:pPr>
              <w:spacing w:line="240" w:lineRule="auto"/>
              <w:ind w:firstLine="0" w:firstLineChars="0"/>
              <w:jc w:val="center"/>
              <w:rPr>
                <w:rFonts w:hint="eastAsia" w:ascii="宋体" w:hAnsi="宋体"/>
                <w:szCs w:val="24"/>
              </w:rPr>
            </w:pPr>
          </w:p>
        </w:tc>
      </w:tr>
    </w:tbl>
    <w:p w14:paraId="5CA5DD40">
      <w:pPr>
        <w:ind w:firstLine="0" w:firstLineChars="0"/>
      </w:pPr>
    </w:p>
    <w:p w14:paraId="6225C447">
      <w:pPr>
        <w:pStyle w:val="4"/>
        <w:rPr>
          <w:rFonts w:hint="eastAsia"/>
        </w:rPr>
      </w:pPr>
      <w:bookmarkStart w:id="377" w:name="_Toc186389216"/>
      <w:bookmarkStart w:id="378" w:name="_Toc28721"/>
      <w:bookmarkStart w:id="379" w:name="_Toc186452662"/>
      <w:bookmarkStart w:id="380" w:name="_Toc11753"/>
      <w:r>
        <w:t>管理组织</w:t>
      </w:r>
      <w:bookmarkEnd w:id="377"/>
      <w:bookmarkEnd w:id="378"/>
      <w:bookmarkEnd w:id="379"/>
      <w:bookmarkEnd w:id="380"/>
    </w:p>
    <w:p w14:paraId="5DE7C470">
      <w:pPr>
        <w:ind w:firstLine="480"/>
        <w:rPr>
          <w:rFonts w:ascii="Times New Roman" w:hAnsi="Times New Roman" w:cs="Times New Roman"/>
          <w:lang w:val="en-GB"/>
        </w:rPr>
      </w:pPr>
      <w:r>
        <w:rPr>
          <w:rFonts w:ascii="Times New Roman" w:hAnsi="Times New Roman" w:cs="Times New Roman"/>
          <w:lang w:val="en-GB"/>
        </w:rPr>
        <w:t>本公司的质量保证活动统一由质量管-理-员进行管理、检查与汇报，公司相关部门经理及项目中的项目经理、</w:t>
      </w:r>
      <w:r>
        <w:rPr>
          <w:szCs w:val="24"/>
        </w:rPr>
        <w:t>程序</w:t>
      </w:r>
      <w:r>
        <w:rPr>
          <w:rFonts w:ascii="Times New Roman" w:hAnsi="Times New Roman" w:cs="Times New Roman"/>
          <w:lang w:val="en-GB"/>
        </w:rPr>
        <w:t>经理、开发经理、测试经理、产品经理、测试经理、用户教育经理是质量保证活动中的第一责任人。</w:t>
      </w:r>
    </w:p>
    <w:p w14:paraId="1F67E511">
      <w:pPr>
        <w:pStyle w:val="3"/>
        <w:rPr>
          <w:rFonts w:ascii="Times New Roman" w:hAnsi="Times New Roman"/>
        </w:rPr>
      </w:pPr>
      <w:bookmarkStart w:id="381" w:name="_Toc6410"/>
      <w:bookmarkStart w:id="382" w:name="_Toc186389217"/>
      <w:bookmarkStart w:id="383" w:name="_Toc169560685"/>
      <w:bookmarkStart w:id="384" w:name="_Toc8843"/>
      <w:bookmarkStart w:id="385" w:name="_Toc186452663"/>
      <w:r>
        <w:rPr>
          <w:rFonts w:ascii="Times New Roman" w:hAnsi="Times New Roman"/>
        </w:rPr>
        <w:t>人员保障方案</w:t>
      </w:r>
      <w:bookmarkEnd w:id="381"/>
      <w:bookmarkEnd w:id="382"/>
      <w:bookmarkEnd w:id="383"/>
      <w:bookmarkEnd w:id="384"/>
      <w:bookmarkEnd w:id="385"/>
    </w:p>
    <w:p w14:paraId="6FCB719F">
      <w:pPr>
        <w:ind w:firstLine="480"/>
        <w:rPr>
          <w:szCs w:val="24"/>
        </w:rPr>
      </w:pPr>
      <w:r>
        <w:rPr>
          <w:szCs w:val="24"/>
        </w:rPr>
        <w:t>此项目公司高度重视，选派文化素质高，曾有多次物流项目工程施工经历，勤奋实干、工作热情高的工程技术人员和经营管理人员，组建项目现场项目部，按照项目法组织施工。现场项目经理，施工人员，调试人员等均是由有多次项目设计、施工、调试经历，经验丰富的人员承担。</w:t>
      </w:r>
    </w:p>
    <w:p w14:paraId="6AD2E6A8">
      <w:pPr>
        <w:ind w:firstLine="480"/>
        <w:rPr>
          <w:szCs w:val="24"/>
        </w:rPr>
      </w:pPr>
      <w:r>
        <w:rPr>
          <w:szCs w:val="24"/>
        </w:rPr>
        <w:t>施工队伍设现场项目经理1名，技术负责人1名，安全、质量管理人员1名，项目施工的软件及电气设备负责人各1名、现场安装调试人员、机械设备安装调试人员若干名、项目施工队长若干名。</w:t>
      </w:r>
    </w:p>
    <w:p w14:paraId="37E7ABA6">
      <w:pPr>
        <w:ind w:firstLine="480"/>
        <w:rPr>
          <w:rFonts w:ascii="Times New Roman" w:hAnsi="Times New Roman" w:cs="Times New Roman"/>
          <w:lang w:val="en-GB"/>
        </w:rPr>
      </w:pPr>
      <w:r>
        <w:rPr>
          <w:rFonts w:ascii="Times New Roman" w:hAnsi="Times New Roman" w:cs="Times New Roman"/>
          <w:lang w:val="en-GB"/>
        </w:rPr>
        <w:t>现场项目经理由曾多次担任现场工程施工经验的高级经理担任，全权代表我公司履行合同规定的权利和义务，充分利用以前施工的经验和教训，以严谨的科学态度对项目进行精心策划，精心组织，精心施工，满足业主和甲方的要求，从而保证优质高效地完成工程项目。</w:t>
      </w:r>
      <w:r>
        <w:rPr>
          <w:szCs w:val="24"/>
        </w:rPr>
        <w:t>劳动力</w:t>
      </w:r>
      <w:r>
        <w:rPr>
          <w:rFonts w:ascii="Times New Roman" w:hAnsi="Times New Roman" w:cs="Times New Roman"/>
          <w:lang w:val="en-GB"/>
        </w:rPr>
        <w:t>的配置以公司下的各部门为主配置，施工管理人员、技工及特殊工种、调试人员等均由各部门选派，现场辅助劳力在施工现场雇用。</w:t>
      </w:r>
    </w:p>
    <w:p w14:paraId="4DB0D971">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项目经理</w:t>
      </w:r>
    </w:p>
    <w:p w14:paraId="1492B199">
      <w:pPr>
        <w:ind w:firstLine="0" w:firstLineChars="0"/>
        <w:rPr>
          <w:rFonts w:ascii="Times New Roman" w:hAnsi="Times New Roman" w:cs="Times New Roman"/>
          <w:lang w:val="en-GB"/>
        </w:rPr>
      </w:pPr>
      <w:r>
        <w:rPr>
          <w:rFonts w:ascii="Times New Roman" w:hAnsi="Times New Roman" w:cs="Times New Roman"/>
          <w:lang w:val="en-GB"/>
        </w:rPr>
        <w:t>项目经理是公司在项目施工现场的最高权力代表，代表公司行使法人代表权力，主要职责如下：</w:t>
      </w:r>
    </w:p>
    <w:p w14:paraId="5AB4037C">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 xml:space="preserve">负责编制项目实施计划（包括设备安装进度计划、安调人员配置计划、费用计划、资料与工具需求计划、设备发货计划等），并按照计划组织项目的现场实施； </w:t>
      </w:r>
    </w:p>
    <w:p w14:paraId="46F6A222">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 xml:space="preserve">对内负责协调物流系统项目相关技术人员、生产部、供应部等部门，对外负责协调项目建设方、外购设备供应方（以下简称相关方）及实施过程中涉及的其他相关方，确保项目按照计划顺利实施； </w:t>
      </w:r>
    </w:p>
    <w:p w14:paraId="7EB6D661">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 xml:space="preserve">负责项目现场实施过程中的安全、质量、进度管理，是现场安全、质量和进度管理的第一责任人； </w:t>
      </w:r>
    </w:p>
    <w:p w14:paraId="474B33E2">
      <w:pPr>
        <w:ind w:firstLine="0" w:firstLineChars="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 xml:space="preserve">负责组织项目验收； </w:t>
      </w:r>
    </w:p>
    <w:p w14:paraId="2B124DA1">
      <w:pPr>
        <w:ind w:firstLine="0" w:firstLineChars="0"/>
        <w:rPr>
          <w:rFonts w:ascii="Times New Roman" w:hAnsi="Times New Roman" w:cs="Times New Roman"/>
          <w:lang w:val="en-GB"/>
        </w:rPr>
      </w:pPr>
      <w:r>
        <w:rPr>
          <w:rFonts w:ascii="Times New Roman" w:hAnsi="Times New Roman" w:cs="Times New Roman"/>
          <w:lang w:val="en-GB"/>
        </w:rPr>
        <w:t>5)</w:t>
      </w:r>
      <w:r>
        <w:rPr>
          <w:rFonts w:ascii="Times New Roman" w:hAnsi="Times New Roman" w:cs="Times New Roman"/>
          <w:lang w:val="en-GB"/>
        </w:rPr>
        <w:tab/>
      </w:r>
      <w:r>
        <w:rPr>
          <w:rFonts w:ascii="Times New Roman" w:hAnsi="Times New Roman" w:cs="Times New Roman"/>
          <w:lang w:val="en-GB"/>
        </w:rPr>
        <w:t xml:space="preserve">负责现场施工人员的管理，按照有关规定牵头对施工人员进行绩效考核； </w:t>
      </w:r>
    </w:p>
    <w:p w14:paraId="7838DBDF">
      <w:pPr>
        <w:ind w:firstLine="0" w:firstLineChars="0"/>
        <w:rPr>
          <w:rFonts w:ascii="Times New Roman" w:hAnsi="Times New Roman" w:cs="Times New Roman"/>
          <w:lang w:val="en-GB"/>
        </w:rPr>
      </w:pPr>
      <w:r>
        <w:rPr>
          <w:rFonts w:ascii="Times New Roman" w:hAnsi="Times New Roman" w:cs="Times New Roman"/>
          <w:lang w:val="en-GB"/>
        </w:rPr>
        <w:t>6)</w:t>
      </w:r>
      <w:r>
        <w:rPr>
          <w:rFonts w:ascii="Times New Roman" w:hAnsi="Times New Roman" w:cs="Times New Roman"/>
          <w:lang w:val="en-GB"/>
        </w:rPr>
        <w:tab/>
      </w:r>
      <w:r>
        <w:rPr>
          <w:rFonts w:ascii="Times New Roman" w:hAnsi="Times New Roman" w:cs="Times New Roman"/>
          <w:lang w:val="en-GB"/>
        </w:rPr>
        <w:t>负责协调解决项目实施过程中的设计、施工问题。</w:t>
      </w:r>
    </w:p>
    <w:p w14:paraId="3857F7AB">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项目技术负责人</w:t>
      </w:r>
    </w:p>
    <w:p w14:paraId="21C52620">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负责项目施工技术管理工作；</w:t>
      </w:r>
    </w:p>
    <w:p w14:paraId="23546CA6">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组织编制项目施工组织设计，报公司审批；</w:t>
      </w:r>
    </w:p>
    <w:p w14:paraId="78D8D9AB">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批准项目重大施工方案；</w:t>
      </w:r>
    </w:p>
    <w:p w14:paraId="32236C42">
      <w:pPr>
        <w:ind w:firstLine="0" w:firstLineChars="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主持项目的图纸会审和施工技术交底工作；</w:t>
      </w:r>
    </w:p>
    <w:p w14:paraId="13FCF2A0">
      <w:pPr>
        <w:ind w:firstLine="0" w:firstLineChars="0"/>
        <w:rPr>
          <w:rFonts w:ascii="Times New Roman" w:hAnsi="Times New Roman" w:cs="Times New Roman"/>
          <w:lang w:val="en-GB"/>
        </w:rPr>
      </w:pPr>
      <w:r>
        <w:rPr>
          <w:rFonts w:ascii="Times New Roman" w:hAnsi="Times New Roman" w:cs="Times New Roman"/>
          <w:lang w:val="en-GB"/>
        </w:rPr>
        <w:t>5)</w:t>
      </w:r>
      <w:r>
        <w:rPr>
          <w:rFonts w:ascii="Times New Roman" w:hAnsi="Times New Roman" w:cs="Times New Roman"/>
          <w:lang w:val="en-GB"/>
        </w:rPr>
        <w:tab/>
      </w:r>
      <w:r>
        <w:rPr>
          <w:rFonts w:ascii="Times New Roman" w:hAnsi="Times New Roman" w:cs="Times New Roman"/>
          <w:lang w:val="en-GB"/>
        </w:rPr>
        <w:t>组织并监督、检查技术标准、规范、施工方案和技术措施的实施；</w:t>
      </w:r>
    </w:p>
    <w:p w14:paraId="69F4A503">
      <w:pPr>
        <w:ind w:firstLine="0" w:firstLineChars="0"/>
        <w:rPr>
          <w:rFonts w:ascii="Times New Roman" w:hAnsi="Times New Roman" w:cs="Times New Roman"/>
          <w:lang w:val="en-GB"/>
        </w:rPr>
      </w:pPr>
      <w:r>
        <w:rPr>
          <w:rFonts w:ascii="Times New Roman" w:hAnsi="Times New Roman" w:cs="Times New Roman"/>
          <w:lang w:val="en-GB"/>
        </w:rPr>
        <w:t>6)</w:t>
      </w:r>
      <w:r>
        <w:rPr>
          <w:rFonts w:ascii="Times New Roman" w:hAnsi="Times New Roman" w:cs="Times New Roman"/>
          <w:lang w:val="en-GB"/>
        </w:rPr>
        <w:tab/>
      </w:r>
      <w:r>
        <w:rPr>
          <w:rFonts w:ascii="Times New Roman" w:hAnsi="Times New Roman" w:cs="Times New Roman"/>
          <w:lang w:val="en-GB"/>
        </w:rPr>
        <w:t>参加施工调度协调会，解决施工中的技术问题；</w:t>
      </w:r>
    </w:p>
    <w:p w14:paraId="696B4977">
      <w:pPr>
        <w:ind w:firstLine="0" w:firstLineChars="0"/>
        <w:rPr>
          <w:rFonts w:ascii="Times New Roman" w:hAnsi="Times New Roman" w:cs="Times New Roman"/>
          <w:lang w:val="en-GB"/>
        </w:rPr>
      </w:pPr>
      <w:r>
        <w:rPr>
          <w:rFonts w:ascii="Times New Roman" w:hAnsi="Times New Roman" w:cs="Times New Roman"/>
          <w:lang w:val="en-GB"/>
        </w:rPr>
        <w:t>7)</w:t>
      </w:r>
      <w:r>
        <w:rPr>
          <w:rFonts w:ascii="Times New Roman" w:hAnsi="Times New Roman" w:cs="Times New Roman"/>
          <w:lang w:val="en-GB"/>
        </w:rPr>
        <w:tab/>
      </w:r>
      <w:r>
        <w:rPr>
          <w:rFonts w:ascii="Times New Roman" w:hAnsi="Times New Roman" w:cs="Times New Roman"/>
          <w:lang w:val="en-GB"/>
        </w:rPr>
        <w:t>审批重要不合格品（重大质量事故）的评审鉴定结果和处理方案；</w:t>
      </w:r>
    </w:p>
    <w:p w14:paraId="53EE5137">
      <w:pPr>
        <w:ind w:firstLine="0" w:firstLineChars="0"/>
        <w:rPr>
          <w:rFonts w:ascii="Times New Roman" w:hAnsi="Times New Roman" w:cs="Times New Roman"/>
          <w:lang w:val="en-GB"/>
        </w:rPr>
      </w:pPr>
      <w:r>
        <w:rPr>
          <w:rFonts w:ascii="Times New Roman" w:hAnsi="Times New Roman" w:cs="Times New Roman"/>
          <w:lang w:val="en-GB"/>
        </w:rPr>
        <w:t>8)</w:t>
      </w:r>
      <w:r>
        <w:rPr>
          <w:rFonts w:ascii="Times New Roman" w:hAnsi="Times New Roman" w:cs="Times New Roman"/>
          <w:lang w:val="en-GB"/>
        </w:rPr>
        <w:tab/>
      </w:r>
      <w:r>
        <w:rPr>
          <w:rFonts w:ascii="Times New Roman" w:hAnsi="Times New Roman" w:cs="Times New Roman"/>
          <w:lang w:val="en-GB"/>
        </w:rPr>
        <w:t>负责组织编制验收规范文件、组织工程总体验收；</w:t>
      </w:r>
    </w:p>
    <w:p w14:paraId="78AE95E6">
      <w:pPr>
        <w:ind w:firstLine="0" w:firstLineChars="0"/>
        <w:rPr>
          <w:rFonts w:ascii="Times New Roman" w:hAnsi="Times New Roman" w:cs="Times New Roman"/>
          <w:lang w:val="en-GB"/>
        </w:rPr>
      </w:pPr>
      <w:r>
        <w:rPr>
          <w:rFonts w:ascii="Times New Roman" w:hAnsi="Times New Roman" w:cs="Times New Roman"/>
          <w:lang w:val="en-GB"/>
        </w:rPr>
        <w:t>9)</w:t>
      </w:r>
      <w:r>
        <w:rPr>
          <w:rFonts w:ascii="Times New Roman" w:hAnsi="Times New Roman" w:cs="Times New Roman"/>
          <w:lang w:val="en-GB"/>
        </w:rPr>
        <w:tab/>
      </w:r>
      <w:r>
        <w:rPr>
          <w:rFonts w:ascii="Times New Roman" w:hAnsi="Times New Roman" w:cs="Times New Roman"/>
          <w:lang w:val="en-GB"/>
        </w:rPr>
        <w:t>主持项目施工资料的整理和归档工作。</w:t>
      </w:r>
    </w:p>
    <w:p w14:paraId="5CB9A079">
      <w:pPr>
        <w:ind w:firstLine="0" w:firstLineChars="0"/>
        <w:rPr>
          <w:rFonts w:ascii="Times New Roman" w:hAnsi="Times New Roman" w:cs="Times New Roman"/>
          <w:lang w:val="en-GB"/>
        </w:rPr>
      </w:pPr>
      <w:r>
        <w:rPr>
          <w:rFonts w:ascii="Times New Roman" w:hAnsi="Times New Roman" w:cs="Times New Roman"/>
          <w:lang w:val="en-GB"/>
        </w:rPr>
        <w:t>在不设工程技术部的情况下，还应承担如下的工作：</w:t>
      </w:r>
    </w:p>
    <w:p w14:paraId="584E2EFA">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负责项目的工程技术管理和施工组织工作，对施工进度、质量、安全进行严格的管理和控制。</w:t>
      </w:r>
    </w:p>
    <w:p w14:paraId="4A6D11AC">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编制施工组织计划、施工方案、施工技术措施；</w:t>
      </w:r>
    </w:p>
    <w:p w14:paraId="554BE00E">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提出工程、施工用物资计划；</w:t>
      </w:r>
    </w:p>
    <w:p w14:paraId="5ADF5A7E">
      <w:pPr>
        <w:ind w:firstLine="0" w:firstLineChars="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实施图纸会审和技术交底工作；</w:t>
      </w:r>
    </w:p>
    <w:p w14:paraId="459F72B5">
      <w:pPr>
        <w:ind w:firstLine="0" w:firstLineChars="0"/>
        <w:rPr>
          <w:rFonts w:ascii="Times New Roman" w:hAnsi="Times New Roman" w:cs="Times New Roman"/>
          <w:lang w:val="en-GB"/>
        </w:rPr>
      </w:pPr>
      <w:r>
        <w:rPr>
          <w:rFonts w:ascii="Times New Roman" w:hAnsi="Times New Roman" w:cs="Times New Roman"/>
          <w:lang w:val="en-GB"/>
        </w:rPr>
        <w:t>5)</w:t>
      </w:r>
      <w:r>
        <w:rPr>
          <w:rFonts w:ascii="Times New Roman" w:hAnsi="Times New Roman" w:cs="Times New Roman"/>
          <w:lang w:val="en-GB"/>
        </w:rPr>
        <w:tab/>
      </w:r>
      <w:r>
        <w:rPr>
          <w:rFonts w:ascii="Times New Roman" w:hAnsi="Times New Roman" w:cs="Times New Roman"/>
          <w:lang w:val="en-GB"/>
        </w:rPr>
        <w:t>编制施工进度计划（如专业施工计划、专项施工计划等），并组织实施工作；</w:t>
      </w:r>
    </w:p>
    <w:p w14:paraId="110068EB">
      <w:pPr>
        <w:ind w:firstLine="0" w:firstLineChars="0"/>
        <w:rPr>
          <w:rFonts w:ascii="Times New Roman" w:hAnsi="Times New Roman" w:cs="Times New Roman"/>
          <w:lang w:val="en-GB"/>
        </w:rPr>
      </w:pPr>
      <w:r>
        <w:rPr>
          <w:rFonts w:ascii="Times New Roman" w:hAnsi="Times New Roman" w:cs="Times New Roman"/>
          <w:lang w:val="en-GB"/>
        </w:rPr>
        <w:t>6)</w:t>
      </w:r>
      <w:r>
        <w:rPr>
          <w:rFonts w:ascii="Times New Roman" w:hAnsi="Times New Roman" w:cs="Times New Roman"/>
          <w:lang w:val="en-GB"/>
        </w:rPr>
        <w:tab/>
      </w:r>
      <w:r>
        <w:rPr>
          <w:rFonts w:ascii="Times New Roman" w:hAnsi="Times New Roman" w:cs="Times New Roman"/>
          <w:lang w:val="en-GB"/>
        </w:rPr>
        <w:t>负责现场的施工协调（内、外）及调度工作，组织各种协调会；</w:t>
      </w:r>
    </w:p>
    <w:p w14:paraId="57C5A6B5">
      <w:pPr>
        <w:ind w:firstLine="0" w:firstLineChars="0"/>
        <w:rPr>
          <w:rFonts w:ascii="Times New Roman" w:hAnsi="Times New Roman" w:cs="Times New Roman"/>
          <w:lang w:val="en-GB"/>
        </w:rPr>
      </w:pPr>
      <w:r>
        <w:rPr>
          <w:rFonts w:ascii="Times New Roman" w:hAnsi="Times New Roman" w:cs="Times New Roman"/>
          <w:lang w:val="en-GB"/>
        </w:rPr>
        <w:t>7)</w:t>
      </w:r>
      <w:r>
        <w:rPr>
          <w:rFonts w:ascii="Times New Roman" w:hAnsi="Times New Roman" w:cs="Times New Roman"/>
          <w:lang w:val="en-GB"/>
        </w:rPr>
        <w:tab/>
      </w:r>
      <w:r>
        <w:rPr>
          <w:rFonts w:ascii="Times New Roman" w:hAnsi="Times New Roman" w:cs="Times New Roman"/>
          <w:lang w:val="en-GB"/>
        </w:rPr>
        <w:t>根据有关通用规范、标准，编制该项目的具体验收规范文件，参加工程的总体验收；</w:t>
      </w:r>
    </w:p>
    <w:p w14:paraId="54995574">
      <w:pPr>
        <w:ind w:firstLine="0" w:firstLineChars="0"/>
        <w:rPr>
          <w:rFonts w:ascii="Times New Roman" w:hAnsi="Times New Roman" w:cs="Times New Roman"/>
          <w:lang w:val="en-GB"/>
        </w:rPr>
      </w:pPr>
      <w:r>
        <w:rPr>
          <w:rFonts w:ascii="Times New Roman" w:hAnsi="Times New Roman" w:cs="Times New Roman"/>
          <w:lang w:val="en-GB"/>
        </w:rPr>
        <w:t>8)</w:t>
      </w:r>
      <w:r>
        <w:rPr>
          <w:rFonts w:ascii="Times New Roman" w:hAnsi="Times New Roman" w:cs="Times New Roman"/>
          <w:lang w:val="en-GB"/>
        </w:rPr>
        <w:tab/>
      </w:r>
      <w:r>
        <w:rPr>
          <w:rFonts w:ascii="Times New Roman" w:hAnsi="Times New Roman" w:cs="Times New Roman"/>
          <w:lang w:val="en-GB"/>
        </w:rPr>
        <w:t>负责竣工资料整理和交工组织管理工作。</w:t>
      </w:r>
    </w:p>
    <w:p w14:paraId="19702BF8">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安全、质量管理人员</w:t>
      </w:r>
    </w:p>
    <w:p w14:paraId="7F5380FD">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代行公司质量部的职责，并接受其业务指导和监督。</w:t>
      </w:r>
    </w:p>
    <w:p w14:paraId="41885715">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加强现场施工质量管理，层层建立安全岗位责任制，并落实到每个施工人员，遵守本公司和滕州卷烟厂的安全操作规程，确保不出现违章指挥和违章操作现象；</w:t>
      </w:r>
    </w:p>
    <w:p w14:paraId="26818D22">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制定项目施工质量管理办法和安全技术措施，监督、检查施工质量，确保质量目标的实现；</w:t>
      </w:r>
    </w:p>
    <w:p w14:paraId="53101649">
      <w:pPr>
        <w:ind w:firstLine="0" w:firstLineChars="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组织安全施工教育，向施工人员进行安全技术交底，认真做好现场安全教育，确保每个施工人员的安全，杜绝一切安全事故的发生；</w:t>
      </w:r>
    </w:p>
    <w:p w14:paraId="2B33CC8E">
      <w:pPr>
        <w:ind w:firstLine="0" w:firstLineChars="0"/>
        <w:rPr>
          <w:rFonts w:ascii="Times New Roman" w:hAnsi="Times New Roman" w:cs="Times New Roman"/>
          <w:lang w:val="en-GB"/>
        </w:rPr>
      </w:pPr>
      <w:r>
        <w:rPr>
          <w:rFonts w:ascii="Times New Roman" w:hAnsi="Times New Roman" w:cs="Times New Roman"/>
          <w:lang w:val="en-GB"/>
        </w:rPr>
        <w:t>5)</w:t>
      </w:r>
      <w:r>
        <w:rPr>
          <w:rFonts w:ascii="Times New Roman" w:hAnsi="Times New Roman" w:cs="Times New Roman"/>
          <w:lang w:val="en-GB"/>
        </w:rPr>
        <w:tab/>
      </w:r>
      <w:r>
        <w:rPr>
          <w:rFonts w:ascii="Times New Roman" w:hAnsi="Times New Roman" w:cs="Times New Roman"/>
          <w:lang w:val="en-GB"/>
        </w:rPr>
        <w:t>经常组织安全检查，建立安全管理制度，并以文本形式记录备案，设专人负责消防器材和易燃易爆物品的管理，操作地点要保持整洁，现场材料的堆放要做到整齐、干净，保证安全通道畅通；</w:t>
      </w:r>
    </w:p>
    <w:p w14:paraId="7D3B3BD9">
      <w:pPr>
        <w:ind w:firstLine="0" w:firstLineChars="0"/>
        <w:rPr>
          <w:rFonts w:ascii="Times New Roman" w:hAnsi="Times New Roman" w:cs="Times New Roman"/>
          <w:lang w:val="en-GB"/>
        </w:rPr>
      </w:pPr>
      <w:r>
        <w:rPr>
          <w:rFonts w:ascii="Times New Roman" w:hAnsi="Times New Roman" w:cs="Times New Roman"/>
          <w:lang w:val="en-GB"/>
        </w:rPr>
        <w:t>6)</w:t>
      </w:r>
      <w:r>
        <w:rPr>
          <w:rFonts w:ascii="Times New Roman" w:hAnsi="Times New Roman" w:cs="Times New Roman"/>
          <w:lang w:val="en-GB"/>
        </w:rPr>
        <w:tab/>
      </w:r>
      <w:r>
        <w:rPr>
          <w:rFonts w:ascii="Times New Roman" w:hAnsi="Times New Roman" w:cs="Times New Roman"/>
          <w:lang w:val="en-GB"/>
        </w:rPr>
        <w:t>制定质量控制检查点，进入现场必须戴好安全帽，两米以上高空作业必须遵守安全作业规范，必须系好安全带，并经常检查各种登高和劳保工具是否完好；立体交叉作业时，应加强联系，及时通报危险，主动避让；共同作业时，要服从现场指挥，遵守联络指挥信号；</w:t>
      </w:r>
    </w:p>
    <w:p w14:paraId="6473F2FC">
      <w:pPr>
        <w:ind w:firstLine="0" w:firstLineChars="0"/>
        <w:rPr>
          <w:rFonts w:ascii="Times New Roman" w:hAnsi="Times New Roman" w:cs="Times New Roman"/>
          <w:lang w:val="en-GB"/>
        </w:rPr>
      </w:pPr>
      <w:r>
        <w:rPr>
          <w:rFonts w:ascii="Times New Roman" w:hAnsi="Times New Roman" w:cs="Times New Roman"/>
          <w:lang w:val="en-GB"/>
        </w:rPr>
        <w:t>7)</w:t>
      </w:r>
      <w:r>
        <w:rPr>
          <w:rFonts w:ascii="Times New Roman" w:hAnsi="Times New Roman" w:cs="Times New Roman"/>
          <w:lang w:val="en-GB"/>
        </w:rPr>
        <w:tab/>
      </w:r>
      <w:r>
        <w:rPr>
          <w:rFonts w:ascii="Times New Roman" w:hAnsi="Times New Roman" w:cs="Times New Roman"/>
          <w:lang w:val="en-GB"/>
        </w:rPr>
        <w:t>遵守有关起重吊装“十不准”中的有关规定，吊装前应检查各个环节是否符合要求并进行试吊，吊装时必须有统一的指挥并配备必要的通讯器材，吊装区域设立警戒线，危险点设专人监护；</w:t>
      </w:r>
    </w:p>
    <w:p w14:paraId="4F3D90D4">
      <w:pPr>
        <w:ind w:firstLine="0" w:firstLineChars="0"/>
        <w:rPr>
          <w:rFonts w:ascii="Times New Roman" w:hAnsi="Times New Roman" w:cs="Times New Roman"/>
          <w:lang w:val="en-GB"/>
        </w:rPr>
      </w:pPr>
      <w:r>
        <w:rPr>
          <w:rFonts w:ascii="Times New Roman" w:hAnsi="Times New Roman" w:cs="Times New Roman"/>
          <w:lang w:val="en-GB"/>
        </w:rPr>
        <w:t>8)</w:t>
      </w:r>
      <w:r>
        <w:rPr>
          <w:rFonts w:ascii="Times New Roman" w:hAnsi="Times New Roman" w:cs="Times New Roman"/>
          <w:lang w:val="en-GB"/>
        </w:rPr>
        <w:tab/>
      </w:r>
      <w:r>
        <w:rPr>
          <w:rFonts w:ascii="Times New Roman" w:hAnsi="Times New Roman" w:cs="Times New Roman"/>
          <w:lang w:val="en-GB"/>
        </w:rPr>
        <w:t>严格执行国家和地方的消防安全法规和防火安全管理规定，动用明火必须办好动火审批手续，并设专人监护，特殊工种必须持证上岗，应配备足够的消防器材，杜绝不安全因素存在；</w:t>
      </w:r>
    </w:p>
    <w:p w14:paraId="07E9E258">
      <w:pPr>
        <w:ind w:firstLine="0" w:firstLineChars="0"/>
        <w:rPr>
          <w:rFonts w:ascii="Times New Roman" w:hAnsi="Times New Roman" w:cs="Times New Roman"/>
          <w:lang w:val="en-GB"/>
        </w:rPr>
      </w:pPr>
      <w:r>
        <w:rPr>
          <w:rFonts w:ascii="Times New Roman" w:hAnsi="Times New Roman" w:cs="Times New Roman"/>
          <w:lang w:val="en-GB"/>
        </w:rPr>
        <w:t>9)</w:t>
      </w:r>
      <w:r>
        <w:rPr>
          <w:rFonts w:ascii="Times New Roman" w:hAnsi="Times New Roman" w:cs="Times New Roman"/>
          <w:lang w:val="en-GB"/>
        </w:rPr>
        <w:tab/>
      </w:r>
      <w:r>
        <w:rPr>
          <w:rFonts w:ascii="Times New Roman" w:hAnsi="Times New Roman" w:cs="Times New Roman"/>
          <w:lang w:val="en-GB"/>
        </w:rPr>
        <w:t>组织分项、分部、单位工程质量评定，完成项目的最终检查；</w:t>
      </w:r>
    </w:p>
    <w:p w14:paraId="329D0ED4">
      <w:pPr>
        <w:ind w:firstLine="0" w:firstLineChars="0"/>
        <w:rPr>
          <w:rFonts w:ascii="Times New Roman" w:hAnsi="Times New Roman" w:cs="Times New Roman"/>
          <w:lang w:val="en-GB"/>
        </w:rPr>
      </w:pPr>
      <w:r>
        <w:rPr>
          <w:rFonts w:ascii="Times New Roman" w:hAnsi="Times New Roman" w:cs="Times New Roman"/>
          <w:lang w:val="en-GB"/>
        </w:rPr>
        <w:t>10)</w:t>
      </w:r>
      <w:r>
        <w:rPr>
          <w:rFonts w:ascii="Times New Roman" w:hAnsi="Times New Roman" w:cs="Times New Roman"/>
          <w:lang w:val="en-GB"/>
        </w:rPr>
        <w:tab/>
      </w:r>
      <w:r>
        <w:rPr>
          <w:rFonts w:ascii="Times New Roman" w:hAnsi="Times New Roman" w:cs="Times New Roman"/>
          <w:lang w:val="en-GB"/>
        </w:rPr>
        <w:t>组织不合格品（质量事故）的评审鉴定、监督，检查不合格品的返工或返修；</w:t>
      </w:r>
    </w:p>
    <w:p w14:paraId="4E4EB215">
      <w:pPr>
        <w:ind w:firstLine="0" w:firstLineChars="0"/>
        <w:rPr>
          <w:rFonts w:ascii="Times New Roman" w:hAnsi="Times New Roman" w:cs="Times New Roman"/>
          <w:lang w:val="en-GB"/>
        </w:rPr>
      </w:pPr>
      <w:r>
        <w:rPr>
          <w:rFonts w:ascii="Times New Roman" w:hAnsi="Times New Roman" w:cs="Times New Roman"/>
          <w:lang w:val="en-GB"/>
        </w:rPr>
        <w:t>11)</w:t>
      </w:r>
      <w:r>
        <w:rPr>
          <w:rFonts w:ascii="Times New Roman" w:hAnsi="Times New Roman" w:cs="Times New Roman"/>
          <w:lang w:val="en-GB"/>
        </w:rPr>
        <w:tab/>
      </w:r>
      <w:r>
        <w:rPr>
          <w:rFonts w:ascii="Times New Roman" w:hAnsi="Times New Roman" w:cs="Times New Roman"/>
          <w:lang w:val="en-GB"/>
        </w:rPr>
        <w:t>项目范围内行使质量否决权；</w:t>
      </w:r>
    </w:p>
    <w:p w14:paraId="3C12AC04">
      <w:pPr>
        <w:ind w:firstLine="0" w:firstLineChars="0"/>
        <w:rPr>
          <w:rFonts w:ascii="Times New Roman" w:hAnsi="Times New Roman" w:cs="Times New Roman"/>
          <w:lang w:val="en-GB"/>
        </w:rPr>
      </w:pPr>
      <w:r>
        <w:rPr>
          <w:rFonts w:ascii="Times New Roman" w:hAnsi="Times New Roman" w:cs="Times New Roman"/>
          <w:lang w:val="en-GB"/>
        </w:rPr>
        <w:t>根据公司和业主的要求，按时向有关部门填报有关报表；</w:t>
      </w:r>
    </w:p>
    <w:p w14:paraId="335DEDDF">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制定项目安全管理措施和各项规章制度（文本形式）；</w:t>
      </w:r>
    </w:p>
    <w:p w14:paraId="357B4460">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如发生安全事故，组织安全事故的调查、分析和处理；</w:t>
      </w:r>
    </w:p>
    <w:p w14:paraId="54FAF1D6">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组织日常安全工作的考核和评比；</w:t>
      </w:r>
    </w:p>
    <w:p w14:paraId="3A1C8C37">
      <w:pPr>
        <w:ind w:firstLine="0" w:firstLineChars="0"/>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lang w:val="en-GB"/>
        </w:rPr>
        <w:tab/>
      </w:r>
      <w:r>
        <w:rPr>
          <w:rFonts w:ascii="Times New Roman" w:hAnsi="Times New Roman" w:cs="Times New Roman"/>
          <w:lang w:val="en-GB"/>
        </w:rPr>
        <w:t>其它日常的安全工作，如安全用电管理等。</w:t>
      </w:r>
    </w:p>
    <w:p w14:paraId="743BDBEA">
      <w:pPr>
        <w:ind w:firstLine="0" w:firstLineChars="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施工队长</w:t>
      </w:r>
    </w:p>
    <w:p w14:paraId="37709A37">
      <w:pPr>
        <w:ind w:firstLine="0" w:firstLineChars="0"/>
        <w:rPr>
          <w:rFonts w:ascii="Times New Roman" w:hAnsi="Times New Roman" w:cs="Times New Roman"/>
          <w:lang w:val="en-GB"/>
        </w:rPr>
      </w:pPr>
      <w:r>
        <w:rPr>
          <w:rFonts w:ascii="Times New Roman" w:hAnsi="Times New Roman" w:cs="Times New Roman"/>
          <w:lang w:val="en-GB"/>
        </w:rPr>
        <w:t>遵照项目经理制定的工作程序和管理办法，完成所分配的任务。主要职责如下：</w:t>
      </w:r>
    </w:p>
    <w:p w14:paraId="75D913B5">
      <w:pPr>
        <w:ind w:firstLine="0" w:firstLineChars="0"/>
        <w:rPr>
          <w:rFonts w:ascii="Times New Roman" w:hAnsi="Times New Roman" w:cs="Times New Roman"/>
          <w:lang w:val="en-GB"/>
        </w:rPr>
      </w:pPr>
      <w:r>
        <w:rPr>
          <w:rFonts w:ascii="Times New Roman" w:hAnsi="Times New Roman" w:cs="Times New Roman"/>
          <w:lang w:val="en-GB"/>
        </w:rPr>
        <w:t>1)</w:t>
      </w:r>
      <w:r>
        <w:rPr>
          <w:rFonts w:ascii="Times New Roman" w:hAnsi="Times New Roman" w:cs="Times New Roman"/>
          <w:lang w:val="en-GB"/>
        </w:rPr>
        <w:tab/>
      </w:r>
      <w:r>
        <w:rPr>
          <w:rFonts w:ascii="Times New Roman" w:hAnsi="Times New Roman" w:cs="Times New Roman"/>
          <w:lang w:val="en-GB"/>
        </w:rPr>
        <w:t>跟据项目经理下达的施工计划，配合技术负责人制定本队施工计划，组织施工队各班组进行施工作业，完成施工任务；</w:t>
      </w:r>
    </w:p>
    <w:p w14:paraId="23D5FDE4">
      <w:pPr>
        <w:ind w:firstLine="0" w:firstLineChars="0"/>
        <w:rPr>
          <w:rFonts w:ascii="Times New Roman" w:hAnsi="Times New Roman" w:cs="Times New Roman"/>
          <w:lang w:val="en-GB"/>
        </w:rPr>
      </w:pPr>
      <w:r>
        <w:rPr>
          <w:rFonts w:ascii="Times New Roman" w:hAnsi="Times New Roman" w:cs="Times New Roman"/>
          <w:lang w:val="en-GB"/>
        </w:rPr>
        <w:t>2)</w:t>
      </w:r>
      <w:r>
        <w:rPr>
          <w:rFonts w:ascii="Times New Roman" w:hAnsi="Times New Roman" w:cs="Times New Roman"/>
          <w:lang w:val="en-GB"/>
        </w:rPr>
        <w:tab/>
      </w:r>
      <w:r>
        <w:rPr>
          <w:rFonts w:ascii="Times New Roman" w:hAnsi="Times New Roman" w:cs="Times New Roman"/>
          <w:lang w:val="en-GB"/>
        </w:rPr>
        <w:t>参加项目经理召开的调度会及有关协调会，提出人力、机具、物资协调要求；</w:t>
      </w:r>
    </w:p>
    <w:p w14:paraId="6379E679">
      <w:pPr>
        <w:ind w:firstLine="0" w:firstLineChars="0"/>
        <w:rPr>
          <w:rFonts w:ascii="Times New Roman" w:hAnsi="Times New Roman" w:cs="Times New Roman"/>
          <w:lang w:val="en-GB"/>
        </w:rPr>
      </w:pPr>
      <w:r>
        <w:rPr>
          <w:rFonts w:ascii="Times New Roman" w:hAnsi="Times New Roman" w:cs="Times New Roman"/>
          <w:lang w:val="en-GB"/>
        </w:rPr>
        <w:t>3)</w:t>
      </w:r>
      <w:r>
        <w:rPr>
          <w:rFonts w:ascii="Times New Roman" w:hAnsi="Times New Roman" w:cs="Times New Roman"/>
          <w:lang w:val="en-GB"/>
        </w:rPr>
        <w:tab/>
      </w:r>
      <w:r>
        <w:rPr>
          <w:rFonts w:ascii="Times New Roman" w:hAnsi="Times New Roman" w:cs="Times New Roman"/>
          <w:lang w:val="en-GB"/>
        </w:rPr>
        <w:t>严格按照施工图纸、资料、施工规范、标准、规程、施工方案的要求，在技术人员的指导监督下，进行施工作业；</w:t>
      </w:r>
    </w:p>
    <w:p w14:paraId="568B9735">
      <w:pPr>
        <w:ind w:firstLine="0" w:firstLineChars="0"/>
        <w:rPr>
          <w:rFonts w:ascii="Times New Roman" w:hAnsi="Times New Roman" w:cs="Times New Roman"/>
          <w:lang w:val="en-GB"/>
        </w:rPr>
      </w:pPr>
      <w:r>
        <w:rPr>
          <w:rFonts w:ascii="Times New Roman" w:hAnsi="Times New Roman" w:cs="Times New Roman"/>
          <w:lang w:val="en-GB"/>
        </w:rPr>
        <w:t>4)</w:t>
      </w:r>
      <w:r>
        <w:rPr>
          <w:rFonts w:ascii="Times New Roman" w:hAnsi="Times New Roman" w:cs="Times New Roman"/>
          <w:lang w:val="en-GB"/>
        </w:rPr>
        <w:tab/>
      </w:r>
      <w:r>
        <w:rPr>
          <w:rFonts w:ascii="Times New Roman" w:hAnsi="Times New Roman" w:cs="Times New Roman"/>
          <w:lang w:val="en-GB"/>
        </w:rPr>
        <w:t>严格按照质量标准和检验程序，完成自检工作，接受、参加各项检查，保证施工质量；</w:t>
      </w:r>
    </w:p>
    <w:p w14:paraId="4434B1A2">
      <w:pPr>
        <w:ind w:firstLine="0" w:firstLineChars="0"/>
        <w:rPr>
          <w:rFonts w:ascii="Times New Roman" w:hAnsi="Times New Roman" w:cs="Times New Roman"/>
          <w:lang w:val="en-GB"/>
        </w:rPr>
      </w:pPr>
      <w:r>
        <w:rPr>
          <w:rFonts w:ascii="Times New Roman" w:hAnsi="Times New Roman" w:cs="Times New Roman"/>
          <w:lang w:val="en-GB"/>
        </w:rPr>
        <w:t>5)</w:t>
      </w:r>
      <w:r>
        <w:rPr>
          <w:rFonts w:ascii="Times New Roman" w:hAnsi="Times New Roman" w:cs="Times New Roman"/>
          <w:lang w:val="en-GB"/>
        </w:rPr>
        <w:tab/>
      </w:r>
      <w:r>
        <w:rPr>
          <w:rFonts w:ascii="Times New Roman" w:hAnsi="Times New Roman" w:cs="Times New Roman"/>
          <w:lang w:val="en-GB"/>
        </w:rPr>
        <w:t>负责本队范围的安全生产及文明施工。</w:t>
      </w:r>
    </w:p>
    <w:p w14:paraId="348F647A">
      <w:pPr>
        <w:pStyle w:val="2"/>
        <w:rPr>
          <w:rFonts w:ascii="Times New Roman" w:hAnsi="Times New Roman"/>
        </w:rPr>
      </w:pPr>
      <w:bookmarkStart w:id="386" w:name="_Toc186389218"/>
      <w:bookmarkStart w:id="387" w:name="_Toc18351"/>
      <w:bookmarkStart w:id="388" w:name="_Toc186452664"/>
      <w:bookmarkStart w:id="389" w:name="_Toc31800"/>
      <w:bookmarkStart w:id="390" w:name="_Toc169560686"/>
      <w:r>
        <w:rPr>
          <w:rFonts w:ascii="Times New Roman" w:hAnsi="Times New Roman"/>
        </w:rPr>
        <w:t>系统集成及验收调试方案</w:t>
      </w:r>
      <w:bookmarkEnd w:id="386"/>
      <w:bookmarkEnd w:id="387"/>
      <w:bookmarkEnd w:id="388"/>
      <w:bookmarkEnd w:id="389"/>
      <w:bookmarkEnd w:id="390"/>
    </w:p>
    <w:p w14:paraId="7C0E60E0">
      <w:pPr>
        <w:pStyle w:val="3"/>
      </w:pPr>
      <w:bookmarkStart w:id="391" w:name="_Toc25815"/>
      <w:bookmarkStart w:id="392" w:name="_Toc169560687"/>
      <w:bookmarkStart w:id="393" w:name="_Toc3887"/>
      <w:bookmarkStart w:id="394" w:name="_Toc186452665"/>
      <w:bookmarkStart w:id="395" w:name="_Toc186389219"/>
      <w:r>
        <w:t>验收范围</w:t>
      </w:r>
      <w:bookmarkEnd w:id="391"/>
      <w:bookmarkEnd w:id="392"/>
      <w:bookmarkEnd w:id="393"/>
      <w:bookmarkEnd w:id="394"/>
      <w:bookmarkEnd w:id="395"/>
    </w:p>
    <w:p w14:paraId="4EA7794B">
      <w:pPr>
        <w:ind w:firstLine="0" w:firstLineChars="0"/>
        <w:rPr>
          <w:rFonts w:ascii="Times New Roman" w:hAnsi="Times New Roman" w:cs="Times New Roman"/>
          <w:lang w:val="en-GB"/>
        </w:rPr>
      </w:pPr>
      <w:r>
        <w:rPr>
          <w:rFonts w:ascii="Times New Roman" w:hAnsi="Times New Roman" w:cs="Times New Roman"/>
          <w:lang w:val="en-GB"/>
        </w:rPr>
        <w:t>按照合同所涉及的全部合同货物。</w:t>
      </w:r>
    </w:p>
    <w:p w14:paraId="09E51F45">
      <w:pPr>
        <w:pStyle w:val="3"/>
      </w:pPr>
      <w:bookmarkStart w:id="396" w:name="_Toc24499"/>
      <w:bookmarkStart w:id="397" w:name="_Toc169560688"/>
      <w:bookmarkStart w:id="398" w:name="_Toc186452666"/>
      <w:bookmarkStart w:id="399" w:name="_Toc26262"/>
      <w:bookmarkStart w:id="400" w:name="_Toc186389220"/>
      <w:r>
        <w:t>检验及验收规则</w:t>
      </w:r>
      <w:bookmarkEnd w:id="396"/>
      <w:bookmarkEnd w:id="397"/>
      <w:bookmarkEnd w:id="398"/>
      <w:bookmarkEnd w:id="399"/>
      <w:bookmarkEnd w:id="400"/>
    </w:p>
    <w:p w14:paraId="35ED588F">
      <w:pPr>
        <w:ind w:firstLine="0" w:firstLineChars="0"/>
        <w:rPr>
          <w:rFonts w:ascii="Times New Roman" w:hAnsi="Times New Roman" w:cs="Times New Roman"/>
          <w:lang w:val="en-GB"/>
        </w:rPr>
      </w:pPr>
      <w:r>
        <w:rPr>
          <w:rFonts w:ascii="Times New Roman" w:hAnsi="Times New Roman" w:cs="Times New Roman"/>
          <w:lang w:val="en-GB"/>
        </w:rPr>
        <w:t>1.一般规则</w:t>
      </w:r>
    </w:p>
    <w:p w14:paraId="6D6B2C28">
      <w:pPr>
        <w:ind w:firstLine="480"/>
        <w:rPr>
          <w:rFonts w:ascii="Times New Roman" w:hAnsi="Times New Roman" w:cs="Times New Roman"/>
          <w:lang w:val="en-GB"/>
        </w:rPr>
      </w:pPr>
      <w:r>
        <w:rPr>
          <w:rFonts w:ascii="Times New Roman" w:hAnsi="Times New Roman" w:cs="Times New Roman"/>
          <w:lang w:val="en-GB"/>
        </w:rPr>
        <w:t>所有组成部分必须进行全部测试验收。</w:t>
      </w:r>
    </w:p>
    <w:p w14:paraId="4389DBF0">
      <w:pPr>
        <w:ind w:firstLine="480"/>
        <w:rPr>
          <w:rFonts w:ascii="Times New Roman" w:hAnsi="Times New Roman" w:cs="Times New Roman"/>
          <w:lang w:val="en-GB"/>
        </w:rPr>
      </w:pPr>
      <w:r>
        <w:rPr>
          <w:rFonts w:ascii="Times New Roman" w:hAnsi="Times New Roman" w:cs="Times New Roman"/>
          <w:lang w:val="en-GB"/>
        </w:rPr>
        <w:t>电气和计算机以最小系统为单位进行验收，机械以设备为最小单位进行验收，条件相同的验收项目允许抽检。</w:t>
      </w:r>
    </w:p>
    <w:p w14:paraId="1AC76520">
      <w:pPr>
        <w:ind w:firstLine="480"/>
        <w:rPr>
          <w:rFonts w:ascii="Times New Roman" w:hAnsi="Times New Roman" w:cs="Times New Roman"/>
          <w:lang w:val="en-GB"/>
        </w:rPr>
      </w:pPr>
      <w:r>
        <w:rPr>
          <w:rFonts w:ascii="Times New Roman" w:hAnsi="Times New Roman" w:cs="Times New Roman"/>
          <w:lang w:val="en-GB"/>
        </w:rPr>
        <w:t>重要验收项目（如能力）的检测应有一定的次数，并且每次检测应有一定的持续时间，以便客观真实地反映检测数据，一般验收项目可以一次性进行。</w:t>
      </w:r>
    </w:p>
    <w:p w14:paraId="6E7F356B">
      <w:pPr>
        <w:ind w:firstLine="480"/>
        <w:rPr>
          <w:rFonts w:ascii="Times New Roman" w:hAnsi="Times New Roman" w:cs="Times New Roman"/>
          <w:lang w:val="en-GB"/>
        </w:rPr>
      </w:pPr>
      <w:r>
        <w:rPr>
          <w:rFonts w:ascii="Times New Roman" w:hAnsi="Times New Roman" w:cs="Times New Roman"/>
          <w:lang w:val="en-GB"/>
        </w:rPr>
        <w:t>每一个独立组成部分应填写一份交验证书，甲乙双方签字生效。</w:t>
      </w:r>
    </w:p>
    <w:p w14:paraId="21313DF0">
      <w:pPr>
        <w:ind w:firstLine="480"/>
        <w:rPr>
          <w:rFonts w:ascii="Times New Roman" w:hAnsi="Times New Roman" w:cs="Times New Roman"/>
          <w:lang w:val="en-GB"/>
        </w:rPr>
      </w:pPr>
      <w:r>
        <w:rPr>
          <w:rFonts w:ascii="Times New Roman" w:hAnsi="Times New Roman" w:cs="Times New Roman"/>
          <w:lang w:val="en-GB"/>
        </w:rPr>
        <w:t>若在项目实施过程中产生电气、信息等设备部件厂家的型号更新升级，可以对产品进行更新升级，需保证新型号的技术规格不低于合同设备明细的要求。</w:t>
      </w:r>
    </w:p>
    <w:p w14:paraId="7921E199">
      <w:pPr>
        <w:ind w:firstLine="0" w:firstLineChars="0"/>
        <w:rPr>
          <w:rFonts w:ascii="Times New Roman" w:hAnsi="Times New Roman" w:cs="Times New Roman"/>
          <w:lang w:val="en-GB"/>
        </w:rPr>
      </w:pPr>
      <w:r>
        <w:rPr>
          <w:rFonts w:ascii="Times New Roman" w:hAnsi="Times New Roman" w:cs="Times New Roman"/>
          <w:lang w:val="en-GB"/>
        </w:rPr>
        <w:t>2.判定规则</w:t>
      </w:r>
      <w:r>
        <w:rPr>
          <w:rFonts w:ascii="Times New Roman" w:hAnsi="Times New Roman" w:cs="Times New Roman"/>
          <w:lang w:val="en-GB"/>
        </w:rPr>
        <w:tab/>
      </w:r>
    </w:p>
    <w:p w14:paraId="23D89A61">
      <w:pPr>
        <w:ind w:firstLine="0" w:firstLineChars="0"/>
        <w:rPr>
          <w:rFonts w:ascii="Times New Roman" w:hAnsi="Times New Roman" w:cs="Times New Roman"/>
          <w:lang w:val="en-GB"/>
        </w:rPr>
      </w:pPr>
      <w:r>
        <w:rPr>
          <w:rFonts w:ascii="Times New Roman" w:hAnsi="Times New Roman" w:cs="Times New Roman"/>
          <w:lang w:val="en-GB"/>
        </w:rPr>
        <w:t>验收等级分为“不合格”、“合格”、“优良”。</w:t>
      </w:r>
    </w:p>
    <w:p w14:paraId="47A72F03">
      <w:pPr>
        <w:ind w:firstLine="0" w:firstLineChars="0"/>
        <w:rPr>
          <w:rFonts w:ascii="Times New Roman" w:hAnsi="Times New Roman" w:cs="Times New Roman"/>
          <w:lang w:val="en-GB"/>
        </w:rPr>
      </w:pPr>
      <w:r>
        <w:rPr>
          <w:rFonts w:ascii="Times New Roman" w:hAnsi="Times New Roman" w:cs="Times New Roman"/>
          <w:lang w:val="en-GB"/>
        </w:rPr>
        <w:t>不合格—主要系统指标、系统功能达不到设计要求，不能满足正常生产需要。</w:t>
      </w:r>
    </w:p>
    <w:p w14:paraId="73C373A2">
      <w:pPr>
        <w:ind w:firstLine="0" w:firstLineChars="0"/>
        <w:rPr>
          <w:rFonts w:ascii="Times New Roman" w:hAnsi="Times New Roman" w:cs="Times New Roman"/>
          <w:lang w:val="en-GB"/>
        </w:rPr>
      </w:pPr>
      <w:r>
        <w:rPr>
          <w:rFonts w:ascii="Times New Roman" w:hAnsi="Times New Roman" w:cs="Times New Roman"/>
          <w:lang w:val="en-GB"/>
        </w:rPr>
        <w:t>合格—主要系统指标、系统功能达到合同要求，能满足正常生产需要。</w:t>
      </w:r>
    </w:p>
    <w:p w14:paraId="2C37FD1F">
      <w:pPr>
        <w:ind w:firstLine="0" w:firstLineChars="0"/>
        <w:rPr>
          <w:rFonts w:ascii="Times New Roman" w:hAnsi="Times New Roman" w:cs="Times New Roman"/>
          <w:lang w:val="en-GB"/>
        </w:rPr>
      </w:pPr>
      <w:r>
        <w:rPr>
          <w:rFonts w:ascii="Times New Roman" w:hAnsi="Times New Roman" w:cs="Times New Roman"/>
          <w:lang w:val="en-GB"/>
        </w:rPr>
        <w:t>优良—全部达到合同要求，系统功能完善、系统能力有一定的富裕。</w:t>
      </w:r>
    </w:p>
    <w:p w14:paraId="7AF65E0F">
      <w:pPr>
        <w:pStyle w:val="3"/>
      </w:pPr>
      <w:bookmarkStart w:id="401" w:name="_Toc186452667"/>
      <w:bookmarkStart w:id="402" w:name="_Toc6371"/>
      <w:bookmarkStart w:id="403" w:name="_Toc186389221"/>
      <w:bookmarkStart w:id="404" w:name="_Toc21793"/>
      <w:bookmarkStart w:id="405" w:name="_Toc169560689"/>
      <w:r>
        <w:t>调试方案及措施</w:t>
      </w:r>
      <w:bookmarkEnd w:id="401"/>
      <w:bookmarkEnd w:id="402"/>
      <w:bookmarkEnd w:id="403"/>
      <w:bookmarkEnd w:id="404"/>
      <w:bookmarkEnd w:id="405"/>
    </w:p>
    <w:p w14:paraId="58835072">
      <w:pPr>
        <w:ind w:firstLine="480"/>
        <w:rPr>
          <w:rFonts w:ascii="Times New Roman" w:hAnsi="Times New Roman" w:cs="Times New Roman"/>
          <w:lang w:val="en-GB"/>
        </w:rPr>
      </w:pPr>
      <w:r>
        <w:rPr>
          <w:rFonts w:ascii="Times New Roman" w:hAnsi="Times New Roman" w:cs="Times New Roman"/>
          <w:lang w:val="en-GB"/>
        </w:rPr>
        <w:t>现场设备安装验收之后将进入设备调试阶段，设备调试之前我方会提出详细完整的调试计划，确保子系统设备和系统的调试及与其它有关系统的接口调试与功能试验顺利完成。</w:t>
      </w:r>
    </w:p>
    <w:p w14:paraId="40B20DF0">
      <w:pPr>
        <w:ind w:firstLine="480"/>
        <w:rPr>
          <w:rFonts w:ascii="Times New Roman" w:hAnsi="Times New Roman" w:cs="Times New Roman"/>
          <w:lang w:val="en-GB"/>
        </w:rPr>
      </w:pPr>
      <w:r>
        <w:rPr>
          <w:rFonts w:ascii="Times New Roman" w:hAnsi="Times New Roman" w:cs="Times New Roman"/>
          <w:lang w:val="en-GB"/>
        </w:rPr>
        <w:t>调试计划包括对各子系统设备和系统调试的具体规定、方式、方法及记录表格，通过各项调试保证能够验证整个系统的控制能力，保证系统功能达到合同要求。</w:t>
      </w:r>
    </w:p>
    <w:p w14:paraId="09CD98F1">
      <w:pPr>
        <w:ind w:firstLine="480"/>
        <w:rPr>
          <w:rFonts w:ascii="Times New Roman" w:hAnsi="Times New Roman" w:cs="Times New Roman"/>
          <w:lang w:val="en-GB"/>
        </w:rPr>
      </w:pPr>
      <w:r>
        <w:rPr>
          <w:rFonts w:ascii="Times New Roman" w:hAnsi="Times New Roman" w:cs="Times New Roman"/>
          <w:lang w:val="en-GB"/>
        </w:rPr>
        <w:t>我们会将调试计划提报业主确认，获得批准后方可进行设备调试。</w:t>
      </w:r>
    </w:p>
    <w:p w14:paraId="2F71067B">
      <w:pPr>
        <w:pStyle w:val="3"/>
      </w:pPr>
      <w:bookmarkStart w:id="406" w:name="_Toc30295"/>
      <w:bookmarkStart w:id="407" w:name="_Toc186389222"/>
      <w:bookmarkStart w:id="408" w:name="_Toc169560690"/>
      <w:bookmarkStart w:id="409" w:name="_Toc186452668"/>
      <w:bookmarkStart w:id="410" w:name="_Toc20940"/>
      <w:r>
        <w:rPr>
          <w:rFonts w:hint="eastAsia"/>
        </w:rPr>
        <w:t>系统运行稳定性承诺</w:t>
      </w:r>
      <w:bookmarkEnd w:id="406"/>
      <w:bookmarkEnd w:id="407"/>
      <w:bookmarkEnd w:id="408"/>
      <w:bookmarkEnd w:id="409"/>
      <w:bookmarkEnd w:id="410"/>
    </w:p>
    <w:p w14:paraId="1E12679D">
      <w:pPr>
        <w:ind w:firstLine="480"/>
        <w:rPr>
          <w:lang w:val="en-GB"/>
        </w:rPr>
      </w:pPr>
      <w:r>
        <w:rPr>
          <w:rFonts w:hint="eastAsia"/>
          <w:lang w:val="en-GB"/>
        </w:rPr>
        <w:t>完成各项设计后，根据技术协议所确定的相关技术要求，满足系统整体使用功能和安全保障。项目验收阶段，联合组织进行一周的预验收，我方安排陪产，符合本技术协议要求后，进入合格验收阶段。针对控制系统运行的稳定性情况，承诺立库设备投产后达到稳定运行所需时间为</w:t>
      </w:r>
      <w:bookmarkStart w:id="411" w:name="_Hlk186366329"/>
      <w:r>
        <w:rPr>
          <w:rFonts w:hint="eastAsia"/>
          <w:lang w:val="en-GB"/>
        </w:rPr>
        <w:t>0</w:t>
      </w:r>
      <w:r>
        <w:rPr>
          <w:lang w:val="en-GB"/>
        </w:rPr>
        <w:t>.5</w:t>
      </w:r>
      <w:r>
        <w:rPr>
          <w:rFonts w:hint="eastAsia"/>
          <w:lang w:val="en-GB"/>
        </w:rPr>
        <w:t>个月（小于1个月）</w:t>
      </w:r>
      <w:bookmarkEnd w:id="411"/>
      <w:r>
        <w:rPr>
          <w:rFonts w:hint="eastAsia"/>
          <w:lang w:val="en-GB"/>
        </w:rPr>
        <w:t>，且立库系统稳定运行效率达到9</w:t>
      </w:r>
      <w:r>
        <w:rPr>
          <w:lang w:val="en-GB"/>
        </w:rPr>
        <w:t>6%</w:t>
      </w:r>
      <w:r>
        <w:rPr>
          <w:rFonts w:hint="eastAsia"/>
          <w:lang w:val="en-GB"/>
        </w:rPr>
        <w:t>。</w:t>
      </w:r>
    </w:p>
    <w:p w14:paraId="431DBE16">
      <w:pPr>
        <w:ind w:firstLine="480"/>
        <w:rPr>
          <w:lang w:val="en-GB"/>
        </w:rPr>
      </w:pPr>
    </w:p>
    <w:p w14:paraId="671239D7">
      <w:pPr>
        <w:ind w:firstLine="480"/>
        <w:rPr>
          <w:lang w:val="en-GB"/>
        </w:rPr>
      </w:pPr>
    </w:p>
    <w:p w14:paraId="4141E3DE">
      <w:pPr>
        <w:ind w:firstLine="480"/>
        <w:rPr>
          <w:lang w:val="en-GB"/>
        </w:rPr>
      </w:pPr>
    </w:p>
    <w:p w14:paraId="17CF91AB">
      <w:pPr>
        <w:ind w:firstLine="480"/>
        <w:rPr>
          <w:lang w:val="en-GB"/>
        </w:rPr>
      </w:pPr>
    </w:p>
    <w:p w14:paraId="111414AE">
      <w:pPr>
        <w:widowControl/>
        <w:spacing w:after="120" w:line="720" w:lineRule="auto"/>
        <w:ind w:firstLine="420" w:firstLineChars="175"/>
        <w:contextualSpacing/>
        <w:rPr>
          <w:rFonts w:hint="eastAsia" w:asciiTheme="minorEastAsia" w:hAnsiTheme="minorEastAsia"/>
        </w:rPr>
      </w:pPr>
      <w:r>
        <w:rPr>
          <w:rFonts w:hint="eastAsia" w:asciiTheme="minorEastAsia" w:hAnsiTheme="minorEastAsia"/>
        </w:rPr>
        <w:t xml:space="preserve">甲方（公章）：                        </w:t>
      </w:r>
      <w:r>
        <w:rPr>
          <w:rFonts w:asciiTheme="minorEastAsia" w:hAnsiTheme="minorEastAsia"/>
        </w:rPr>
        <w:t xml:space="preserve">     </w:t>
      </w:r>
      <w:r>
        <w:rPr>
          <w:rFonts w:hint="eastAsia" w:asciiTheme="minorEastAsia" w:hAnsiTheme="minorEastAsia"/>
        </w:rPr>
        <w:t>乙方(公章)：</w:t>
      </w:r>
      <w:r>
        <w:rPr>
          <w:rFonts w:asciiTheme="minorEastAsia" w:hAnsiTheme="minorEastAsia"/>
        </w:rPr>
        <w:t xml:space="preserve"> </w:t>
      </w:r>
    </w:p>
    <w:p w14:paraId="4A6A1C98">
      <w:pPr>
        <w:pStyle w:val="20"/>
        <w:widowControl/>
        <w:spacing w:after="120" w:line="720" w:lineRule="auto"/>
        <w:ind w:left="-2" w:firstLine="480"/>
        <w:contextualSpacing/>
        <w:rPr>
          <w:rFonts w:hint="eastAsia" w:asciiTheme="minorEastAsia" w:hAnsiTheme="minorEastAsia"/>
        </w:rPr>
      </w:pPr>
      <w:r>
        <w:rPr>
          <w:rFonts w:hint="eastAsia" w:asciiTheme="minorEastAsia" w:hAnsiTheme="minorEastAsia"/>
        </w:rPr>
        <w:t xml:space="preserve">代表签字： </w:t>
      </w:r>
      <w:r>
        <w:rPr>
          <w:rFonts w:asciiTheme="minorEastAsia" w:hAnsiTheme="minorEastAsia"/>
        </w:rPr>
        <w:t xml:space="preserve">                             </w:t>
      </w:r>
      <w:r>
        <w:rPr>
          <w:rFonts w:hint="eastAsia" w:asciiTheme="minorEastAsia" w:hAnsiTheme="minorEastAsia"/>
        </w:rPr>
        <w:t xml:space="preserve">  代表签字：</w:t>
      </w:r>
    </w:p>
    <w:p w14:paraId="63D7D4B3">
      <w:pPr>
        <w:ind w:firstLine="480"/>
        <w:rPr>
          <w:rFonts w:hint="eastAsia" w:asciiTheme="minorEastAsia" w:hAnsiTheme="minorEastAsia"/>
          <w:kern w:val="0"/>
        </w:rPr>
      </w:pPr>
      <w:r>
        <w:rPr>
          <w:rFonts w:hint="eastAsia" w:asciiTheme="minorEastAsia" w:hAnsiTheme="minorEastAsia"/>
        </w:rPr>
        <w:t xml:space="preserve">日期： </w:t>
      </w:r>
      <w:r>
        <w:rPr>
          <w:rFonts w:asciiTheme="minorEastAsia" w:hAnsiTheme="minorEastAsia"/>
        </w:rPr>
        <w:t xml:space="preserve">                                   </w:t>
      </w:r>
      <w:r>
        <w:rPr>
          <w:rFonts w:hint="eastAsia" w:asciiTheme="minorEastAsia" w:hAnsiTheme="minorEastAsia"/>
        </w:rPr>
        <w:t>日期：</w:t>
      </w:r>
    </w:p>
    <w:p w14:paraId="6A07BCED">
      <w:pPr>
        <w:ind w:firstLine="480"/>
      </w:pPr>
    </w:p>
    <w:p w14:paraId="45E7D180">
      <w:pPr>
        <w:ind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2723096"/>
    </w:sdtPr>
    <w:sdtEndPr>
      <w:rPr>
        <w:rFonts w:ascii="Times New Roman" w:hAnsi="Times New Roman" w:cs="Times New Roman"/>
      </w:rPr>
    </w:sdtEndPr>
    <w:sdtContent>
      <w:p w14:paraId="1A654FC9">
        <w:pPr>
          <w:pStyle w:val="10"/>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F6A7B">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12B73">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6177013"/>
    </w:sdtPr>
    <w:sdtContent>
      <w:p w14:paraId="775AC0DE">
        <w:pPr>
          <w:pStyle w:val="10"/>
          <w:ind w:firstLine="360"/>
          <w:jc w:val="center"/>
        </w:pPr>
        <w:r>
          <w:fldChar w:fldCharType="begin"/>
        </w:r>
        <w:r>
          <w:instrText xml:space="preserve">PAGE   \* MERGEFORMAT</w:instrText>
        </w:r>
        <w:r>
          <w:fldChar w:fldCharType="separate"/>
        </w:r>
        <w:r>
          <w:rPr>
            <w:lang w:val="zh-CN"/>
          </w:rPr>
          <w:t>126</w:t>
        </w:r>
        <w:r>
          <w:fldChar w:fldCharType="end"/>
        </w:r>
      </w:p>
    </w:sdtContent>
  </w:sdt>
  <w:p w14:paraId="6FA60B11">
    <w:pPr>
      <w:pStyle w:val="7"/>
      <w:spacing w:line="14" w:lineRule="auto"/>
      <w:ind w:firstLine="40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3087"/>
    </w:sdtPr>
    <w:sdtContent>
      <w:p w14:paraId="324362C8">
        <w:pPr>
          <w:pStyle w:val="10"/>
          <w:ind w:firstLine="360"/>
          <w:jc w:val="center"/>
        </w:pPr>
        <w:r>
          <w:fldChar w:fldCharType="begin"/>
        </w:r>
        <w:r>
          <w:instrText xml:space="preserve">PAGE   \* MERGEFORMAT</w:instrText>
        </w:r>
        <w:r>
          <w:fldChar w:fldCharType="separate"/>
        </w:r>
        <w:r>
          <w:rPr>
            <w:lang w:val="zh-CN"/>
          </w:rPr>
          <w:t>126</w:t>
        </w:r>
        <w:r>
          <w:fldChar w:fldCharType="end"/>
        </w:r>
      </w:p>
    </w:sdtContent>
  </w:sdt>
  <w:p w14:paraId="5E315857">
    <w:pPr>
      <w:pStyle w:val="7"/>
      <w:spacing w:line="14" w:lineRule="auto"/>
      <w:ind w:firstLine="40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2C3B0">
    <w:pPr>
      <w:pStyle w:val="11"/>
      <w:ind w:firstLine="0" w:firstLineChars="0"/>
      <w:jc w:val="both"/>
      <w:rPr>
        <w:rFonts w:hint="eastAsia" w:cs="Times New Roman" w:asciiTheme="minorEastAsia" w:hAnsiTheme="minorEastAsia"/>
      </w:rPr>
    </w:pPr>
    <w:r>
      <w:rPr>
        <w:rFonts w:hint="eastAsia" w:cs="Times New Roman" w:asciiTheme="minorEastAsia" w:hAnsiTheme="minorEastAsia"/>
      </w:rPr>
      <w:t>龙利得文化科技有限公司文化科创园项目纸箱自动化输送及码垛系统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9BF0C">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782EB">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136FF5"/>
    <w:multiLevelType w:val="multilevel"/>
    <w:tmpl w:val="08136FF5"/>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1">
    <w:nsid w:val="1DBB4032"/>
    <w:multiLevelType w:val="multilevel"/>
    <w:tmpl w:val="1DBB403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6AC3B3D"/>
    <w:multiLevelType w:val="multilevel"/>
    <w:tmpl w:val="26AC3B3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FC60360"/>
    <w:multiLevelType w:val="multilevel"/>
    <w:tmpl w:val="2FC60360"/>
    <w:lvl w:ilvl="0" w:tentative="0">
      <w:start w:val="1"/>
      <w:numFmt w:val="bullet"/>
      <w:pStyle w:val="27"/>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0D22E3C"/>
    <w:multiLevelType w:val="multilevel"/>
    <w:tmpl w:val="30D22E3C"/>
    <w:lvl w:ilvl="0" w:tentative="0">
      <w:start w:val="1"/>
      <w:numFmt w:val="decimal"/>
      <w:pStyle w:val="2"/>
      <w:suff w:val="nothing"/>
      <w:lvlText w:val="%1　"/>
      <w:lvlJc w:val="left"/>
      <w:pPr>
        <w:ind w:left="0" w:firstLine="0"/>
      </w:pPr>
      <w:rPr>
        <w:rFonts w:hint="eastAsia" w:ascii="黑体" w:eastAsia="黑体"/>
        <w:b w:val="0"/>
        <w:i w:val="0"/>
        <w:sz w:val="28"/>
        <w:szCs w:val="28"/>
      </w:rPr>
    </w:lvl>
    <w:lvl w:ilvl="1" w:tentative="0">
      <w:start w:val="1"/>
      <w:numFmt w:val="decimal"/>
      <w:pStyle w:val="3"/>
      <w:suff w:val="nothing"/>
      <w:lvlText w:val="%1.%2　"/>
      <w:lvlJc w:val="left"/>
      <w:pPr>
        <w:ind w:left="0" w:firstLine="0"/>
      </w:pPr>
      <w:rPr>
        <w:rFonts w:hint="eastAsia" w:ascii="黑体" w:eastAsia="黑体"/>
        <w:b w:val="0"/>
        <w:i w:val="0"/>
        <w:sz w:val="28"/>
        <w:szCs w:val="28"/>
      </w:rPr>
    </w:lvl>
    <w:lvl w:ilvl="2" w:tentative="0">
      <w:start w:val="1"/>
      <w:numFmt w:val="decimal"/>
      <w:pStyle w:val="4"/>
      <w:suff w:val="nothing"/>
      <w:lvlText w:val="%1.%2.%3　"/>
      <w:lvlJc w:val="left"/>
      <w:pPr>
        <w:ind w:left="0" w:firstLine="0"/>
      </w:pPr>
      <w:rPr>
        <w:rFonts w:hint="eastAsia" w:ascii="黑体" w:eastAsia="黑体"/>
        <w:b w:val="0"/>
        <w:i w:val="0"/>
        <w:sz w:val="28"/>
        <w:szCs w:val="28"/>
      </w:rPr>
    </w:lvl>
    <w:lvl w:ilvl="3" w:tentative="0">
      <w:start w:val="1"/>
      <w:numFmt w:val="decimal"/>
      <w:suff w:val="nothing"/>
      <w:lvlText w:val="%1.%2.%3.%4　"/>
      <w:lvlJc w:val="left"/>
      <w:pPr>
        <w:ind w:left="0" w:firstLine="0"/>
      </w:pPr>
      <w:rPr>
        <w:rFonts w:hint="eastAsia" w:ascii="黑体" w:eastAsia="黑体"/>
        <w:b w:val="0"/>
        <w:i w:val="0"/>
        <w:sz w:val="28"/>
        <w:szCs w:val="28"/>
      </w:rPr>
    </w:lvl>
    <w:lvl w:ilvl="4" w:tentative="0">
      <w:start w:val="1"/>
      <w:numFmt w:val="decimal"/>
      <w:suff w:val="nothing"/>
      <w:lvlText w:val="%1.%2.%3.%4.%5　"/>
      <w:lvlJc w:val="left"/>
      <w:pPr>
        <w:ind w:left="3261" w:firstLine="0"/>
      </w:pPr>
      <w:rPr>
        <w:rFonts w:hint="eastAsia" w:ascii="黑体" w:eastAsia="黑体"/>
        <w:b w:val="0"/>
        <w:i w:val="0"/>
        <w:color w:val="auto"/>
        <w:sz w:val="28"/>
        <w:szCs w:val="28"/>
      </w:rPr>
    </w:lvl>
    <w:lvl w:ilvl="5" w:tentative="0">
      <w:start w:val="1"/>
      <w:numFmt w:val="decimal"/>
      <w:suff w:val="nothing"/>
      <w:lvlText w:val="%1.%2.%3.%4.%5.%6　"/>
      <w:lvlJc w:val="left"/>
      <w:pPr>
        <w:ind w:left="0" w:firstLine="0"/>
      </w:pPr>
      <w:rPr>
        <w:rFonts w:hint="eastAsia" w:ascii="黑体" w:eastAsia="黑体"/>
        <w:b w:val="0"/>
        <w:i w:val="0"/>
        <w:color w:val="auto"/>
        <w:sz w:val="24"/>
      </w:rPr>
    </w:lvl>
    <w:lvl w:ilvl="6" w:tentative="0">
      <w:start w:val="1"/>
      <w:numFmt w:val="decimal"/>
      <w:suff w:val="nothing"/>
      <w:lvlText w:val="%1.%2.%3.%4.%5.%6.%7　"/>
      <w:lvlJc w:val="left"/>
      <w:pPr>
        <w:ind w:left="0" w:firstLine="0"/>
      </w:pPr>
      <w:rPr>
        <w:rFonts w:hint="eastAsia" w:ascii="黑体" w:eastAsia="黑体"/>
        <w:sz w:val="24"/>
      </w:rPr>
    </w:lvl>
    <w:lvl w:ilvl="7" w:tentative="0">
      <w:start w:val="1"/>
      <w:numFmt w:val="decimal"/>
      <w:suff w:val="nothing"/>
      <w:lvlText w:val="%1.%2.%3.%4.%5.%6.%7.%8　"/>
      <w:lvlJc w:val="left"/>
      <w:pPr>
        <w:ind w:left="0" w:firstLine="0"/>
      </w:pPr>
      <w:rPr>
        <w:rFonts w:hint="eastAsia" w:ascii="黑体" w:eastAsia="黑体"/>
        <w:sz w:val="24"/>
      </w:rPr>
    </w:lvl>
    <w:lvl w:ilvl="8" w:tentative="0">
      <w:start w:val="1"/>
      <w:numFmt w:val="decimal"/>
      <w:suff w:val="nothing"/>
      <w:lvlText w:val="%1.%2.%3.%4.%5.%6.%7.%8.%9　"/>
      <w:lvlJc w:val="left"/>
      <w:pPr>
        <w:ind w:left="0" w:firstLine="0"/>
      </w:pPr>
      <w:rPr>
        <w:rFonts w:hint="eastAsia" w:ascii="黑体" w:eastAsia="黑体"/>
        <w:sz w:val="24"/>
      </w:rPr>
    </w:lvl>
  </w:abstractNum>
  <w:abstractNum w:abstractNumId="5">
    <w:nsid w:val="484A01FD"/>
    <w:multiLevelType w:val="multilevel"/>
    <w:tmpl w:val="484A01FD"/>
    <w:lvl w:ilvl="0" w:tentative="0">
      <w:start w:val="10"/>
      <w:numFmt w:val="bullet"/>
      <w:lvlText w:val="•"/>
      <w:lvlJc w:val="left"/>
      <w:pPr>
        <w:ind w:left="900" w:hanging="420"/>
      </w:pPr>
      <w:rPr>
        <w:rFonts w:hint="eastAsia" w:ascii="微软雅黑" w:hAnsi="微软雅黑" w:eastAsia="微软雅黑" w:cs="Times New Roma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5CC9458F"/>
    <w:multiLevelType w:val="multilevel"/>
    <w:tmpl w:val="5CC9458F"/>
    <w:lvl w:ilvl="0" w:tentative="0">
      <w:start w:val="1"/>
      <w:numFmt w:val="bullet"/>
      <w:lvlText w:val=""/>
      <w:lvlJc w:val="left"/>
      <w:pPr>
        <w:tabs>
          <w:tab w:val="left" w:pos="60"/>
        </w:tabs>
        <w:ind w:left="60" w:hanging="420"/>
      </w:pPr>
      <w:rPr>
        <w:rFonts w:hint="default" w:ascii="Wingdings" w:hAnsi="Wingdings"/>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7">
    <w:nsid w:val="738C1857"/>
    <w:multiLevelType w:val="multilevel"/>
    <w:tmpl w:val="738C18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3"/>
  </w:num>
  <w:num w:numId="3">
    <w:abstractNumId w:val="5"/>
  </w:num>
  <w:num w:numId="4">
    <w:abstractNumId w:val="7"/>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904B0"/>
    <w:rsid w:val="00004E88"/>
    <w:rsid w:val="0000537D"/>
    <w:rsid w:val="000068F6"/>
    <w:rsid w:val="000118AC"/>
    <w:rsid w:val="00017AA7"/>
    <w:rsid w:val="00052CEC"/>
    <w:rsid w:val="0009152E"/>
    <w:rsid w:val="000B3F24"/>
    <w:rsid w:val="000D55B6"/>
    <w:rsid w:val="00184EDE"/>
    <w:rsid w:val="001C7D64"/>
    <w:rsid w:val="001D4D9F"/>
    <w:rsid w:val="001F0AB3"/>
    <w:rsid w:val="00237EFD"/>
    <w:rsid w:val="002A2F65"/>
    <w:rsid w:val="00440F92"/>
    <w:rsid w:val="004669CF"/>
    <w:rsid w:val="004749A0"/>
    <w:rsid w:val="0047616C"/>
    <w:rsid w:val="004A3919"/>
    <w:rsid w:val="004E5926"/>
    <w:rsid w:val="004F5094"/>
    <w:rsid w:val="0053473B"/>
    <w:rsid w:val="00662F25"/>
    <w:rsid w:val="006E50CE"/>
    <w:rsid w:val="0072280C"/>
    <w:rsid w:val="00781709"/>
    <w:rsid w:val="007A67B0"/>
    <w:rsid w:val="008F0B46"/>
    <w:rsid w:val="00915C32"/>
    <w:rsid w:val="0098459D"/>
    <w:rsid w:val="00A015D3"/>
    <w:rsid w:val="00AA7E07"/>
    <w:rsid w:val="00B21559"/>
    <w:rsid w:val="00B419ED"/>
    <w:rsid w:val="00B857E2"/>
    <w:rsid w:val="00B87D26"/>
    <w:rsid w:val="00BA349C"/>
    <w:rsid w:val="00BE22FE"/>
    <w:rsid w:val="00C70140"/>
    <w:rsid w:val="00D06E4A"/>
    <w:rsid w:val="00D240A3"/>
    <w:rsid w:val="00D625CB"/>
    <w:rsid w:val="00D62E85"/>
    <w:rsid w:val="00DC2B46"/>
    <w:rsid w:val="00DD6AB2"/>
    <w:rsid w:val="00E46CF4"/>
    <w:rsid w:val="00EA0269"/>
    <w:rsid w:val="09287EA3"/>
    <w:rsid w:val="0EAB3994"/>
    <w:rsid w:val="10544100"/>
    <w:rsid w:val="152754B3"/>
    <w:rsid w:val="16797B9F"/>
    <w:rsid w:val="1CA04A66"/>
    <w:rsid w:val="1DB775F0"/>
    <w:rsid w:val="274719E5"/>
    <w:rsid w:val="2A3743D3"/>
    <w:rsid w:val="34501E49"/>
    <w:rsid w:val="34710C4B"/>
    <w:rsid w:val="34C70AD3"/>
    <w:rsid w:val="3BEB4CD2"/>
    <w:rsid w:val="3CDC0120"/>
    <w:rsid w:val="44AD6ED3"/>
    <w:rsid w:val="45326801"/>
    <w:rsid w:val="4EC21F31"/>
    <w:rsid w:val="4EE152C2"/>
    <w:rsid w:val="53E57F8B"/>
    <w:rsid w:val="56FB4B83"/>
    <w:rsid w:val="58140BA6"/>
    <w:rsid w:val="5AE45B2E"/>
    <w:rsid w:val="5B162F81"/>
    <w:rsid w:val="5C420A37"/>
    <w:rsid w:val="62D52F7D"/>
    <w:rsid w:val="64B904B0"/>
    <w:rsid w:val="655C45BA"/>
    <w:rsid w:val="65B9580B"/>
    <w:rsid w:val="68837A86"/>
    <w:rsid w:val="6EAE5472"/>
    <w:rsid w:val="704B621C"/>
    <w:rsid w:val="73462DE8"/>
    <w:rsid w:val="79315A0E"/>
    <w:rsid w:val="7A5C38E3"/>
    <w:rsid w:val="7D221CA5"/>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2"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widowControl/>
      <w:numPr>
        <w:ilvl w:val="0"/>
        <w:numId w:val="1"/>
      </w:numPr>
      <w:adjustRightInd w:val="0"/>
      <w:snapToGrid w:val="0"/>
      <w:spacing w:before="200" w:after="100" w:line="400" w:lineRule="atLeast"/>
      <w:ind w:firstLineChars="0"/>
      <w:textAlignment w:val="baseline"/>
      <w:outlineLvl w:val="0"/>
    </w:pPr>
    <w:rPr>
      <w:rFonts w:ascii="黑体" w:hAnsi="黑体" w:eastAsia="黑体" w:cs="Arial"/>
      <w:bCs/>
      <w:kern w:val="32"/>
      <w:sz w:val="28"/>
      <w:szCs w:val="32"/>
      <w:lang w:val="en-GB"/>
    </w:rPr>
  </w:style>
  <w:style w:type="paragraph" w:styleId="3">
    <w:name w:val="heading 2"/>
    <w:basedOn w:val="1"/>
    <w:next w:val="1"/>
    <w:unhideWhenUsed/>
    <w:qFormat/>
    <w:uiPriority w:val="0"/>
    <w:pPr>
      <w:widowControl/>
      <w:numPr>
        <w:ilvl w:val="1"/>
        <w:numId w:val="1"/>
      </w:numPr>
      <w:adjustRightInd w:val="0"/>
      <w:snapToGrid w:val="0"/>
      <w:ind w:firstLineChars="0"/>
      <w:textAlignment w:val="baseline"/>
      <w:outlineLvl w:val="1"/>
    </w:pPr>
    <w:rPr>
      <w:rFonts w:eastAsia="黑体" w:asciiTheme="majorHAnsi" w:hAnsiTheme="majorHAnsi" w:cstheme="majorBidi"/>
      <w:bCs/>
      <w:sz w:val="28"/>
      <w:szCs w:val="32"/>
      <w:lang w:val="en-GB"/>
    </w:rPr>
  </w:style>
  <w:style w:type="paragraph" w:styleId="4">
    <w:name w:val="heading 3"/>
    <w:basedOn w:val="1"/>
    <w:next w:val="1"/>
    <w:unhideWhenUsed/>
    <w:qFormat/>
    <w:uiPriority w:val="0"/>
    <w:pPr>
      <w:widowControl/>
      <w:numPr>
        <w:ilvl w:val="2"/>
        <w:numId w:val="1"/>
      </w:numPr>
      <w:adjustRightInd w:val="0"/>
      <w:snapToGrid w:val="0"/>
      <w:ind w:firstLineChars="0"/>
      <w:jc w:val="left"/>
      <w:textAlignment w:val="baseline"/>
      <w:outlineLvl w:val="2"/>
    </w:pPr>
    <w:rPr>
      <w:rFonts w:ascii="黑体" w:hAnsi="黑体" w:eastAsia="黑体" w:cs="Times New Roman"/>
      <w:bCs/>
      <w:kern w:val="0"/>
      <w:sz w:val="28"/>
      <w:szCs w:val="24"/>
      <w:lang w:val="en-GB"/>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2"/>
    <w:rPr>
      <w:rFonts w:eastAsia="黑体" w:asciiTheme="majorHAnsi" w:hAnsiTheme="majorHAnsi" w:cstheme="majorBidi"/>
      <w:sz w:val="20"/>
      <w:szCs w:val="20"/>
    </w:rPr>
  </w:style>
  <w:style w:type="paragraph" w:styleId="6">
    <w:name w:val="annotation text"/>
    <w:basedOn w:val="1"/>
    <w:qFormat/>
    <w:uiPriority w:val="0"/>
    <w:pPr>
      <w:jc w:val="left"/>
    </w:pPr>
  </w:style>
  <w:style w:type="paragraph" w:styleId="7">
    <w:name w:val="Body Text"/>
    <w:basedOn w:val="1"/>
    <w:unhideWhenUsed/>
    <w:qFormat/>
    <w:uiPriority w:val="99"/>
    <w:pPr>
      <w:spacing w:after="120"/>
    </w:pPr>
  </w:style>
  <w:style w:type="paragraph" w:styleId="8">
    <w:name w:val="Body Text Indent"/>
    <w:basedOn w:val="1"/>
    <w:qFormat/>
    <w:uiPriority w:val="0"/>
    <w:pPr>
      <w:spacing w:line="240" w:lineRule="auto"/>
      <w:ind w:firstLine="540" w:firstLineChars="0"/>
    </w:pPr>
    <w:rPr>
      <w:rFonts w:ascii="Times New Roman" w:hAnsi="Times New Roman" w:eastAsia="宋体" w:cs="Times New Roman"/>
      <w:sz w:val="28"/>
      <w:szCs w:val="20"/>
    </w:rPr>
  </w:style>
  <w:style w:type="paragraph" w:styleId="9">
    <w:name w:val="toc 3"/>
    <w:basedOn w:val="1"/>
    <w:next w:val="1"/>
    <w:unhideWhenUsed/>
    <w:qFormat/>
    <w:uiPriority w:val="39"/>
    <w:pPr>
      <w:ind w:left="840" w:leftChars="400"/>
    </w:pPr>
  </w:style>
  <w:style w:type="paragraph" w:styleId="10">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Body Text First Indent 2"/>
    <w:basedOn w:val="8"/>
    <w:next w:val="1"/>
    <w:unhideWhenUsed/>
    <w:qFormat/>
    <w:uiPriority w:val="99"/>
    <w:pPr>
      <w:ind w:firstLine="420"/>
    </w:p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26E5" w:themeColor="hyperlink"/>
      <w:u w:val="single"/>
      <w14:textFill>
        <w14:solidFill>
          <w14:schemeClr w14:val="hlink"/>
        </w14:solidFill>
      </w14:textFill>
    </w:rPr>
  </w:style>
  <w:style w:type="paragraph" w:customStyle="1" w:styleId="19">
    <w:name w:val="TOC 标题1"/>
    <w:basedOn w:val="2"/>
    <w:next w:val="1"/>
    <w:unhideWhenUsed/>
    <w:qFormat/>
    <w:uiPriority w:val="39"/>
    <w:pPr>
      <w:keepNext/>
      <w:keepLines/>
      <w:numPr>
        <w:numId w:val="0"/>
      </w:numPr>
      <w:adjustRightInd/>
      <w:snapToGrid/>
      <w:spacing w:before="480" w:after="0" w:line="276" w:lineRule="auto"/>
      <w:jc w:val="left"/>
      <w:textAlignment w:val="auto"/>
      <w:outlineLvl w:val="9"/>
    </w:pPr>
    <w:rPr>
      <w:rFonts w:asciiTheme="majorHAnsi" w:hAnsiTheme="majorHAnsi" w:eastAsiaTheme="majorEastAsia" w:cstheme="majorBidi"/>
      <w:b/>
      <w:color w:val="2E54A1" w:themeColor="accent1" w:themeShade="BF"/>
      <w:kern w:val="0"/>
      <w:szCs w:val="28"/>
      <w:lang w:val="en-US"/>
    </w:rPr>
  </w:style>
  <w:style w:type="paragraph" w:styleId="20">
    <w:name w:val="List Paragraph"/>
    <w:basedOn w:val="1"/>
    <w:qFormat/>
    <w:uiPriority w:val="99"/>
    <w:pPr>
      <w:ind w:firstLine="420"/>
    </w:pPr>
  </w:style>
  <w:style w:type="paragraph" w:customStyle="1" w:styleId="21">
    <w:name w:val="Table Paragraph"/>
    <w:basedOn w:val="1"/>
    <w:qFormat/>
    <w:uiPriority w:val="1"/>
    <w:pPr>
      <w:autoSpaceDE w:val="0"/>
      <w:autoSpaceDN w:val="0"/>
      <w:adjustRightInd w:val="0"/>
      <w:spacing w:line="298" w:lineRule="exact"/>
      <w:ind w:left="124" w:firstLine="0" w:firstLineChars="0"/>
      <w:jc w:val="left"/>
    </w:pPr>
    <w:rPr>
      <w:rFonts w:ascii="等线" w:hAnsi="Times New Roman" w:eastAsia="等线" w:cs="等线"/>
      <w:kern w:val="0"/>
      <w:szCs w:val="24"/>
    </w:rPr>
  </w:style>
  <w:style w:type="table" w:customStyle="1" w:styleId="22">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23">
    <w:name w:val="表格技术协议"/>
    <w:basedOn w:val="1"/>
    <w:qFormat/>
    <w:uiPriority w:val="0"/>
    <w:pPr>
      <w:widowControl/>
      <w:spacing w:after="12"/>
      <w:ind w:firstLine="0" w:firstLineChars="0"/>
      <w:jc w:val="center"/>
    </w:pPr>
    <w:rPr>
      <w:rFonts w:cs="宋体"/>
      <w:kern w:val="0"/>
      <w:sz w:val="21"/>
      <w:szCs w:val="18"/>
    </w:rPr>
  </w:style>
  <w:style w:type="paragraph" w:customStyle="1" w:styleId="24">
    <w:name w:val="图片"/>
    <w:basedOn w:val="1"/>
    <w:qFormat/>
    <w:uiPriority w:val="0"/>
    <w:pPr>
      <w:widowControl/>
      <w:ind w:firstLine="0" w:firstLineChars="0"/>
      <w:jc w:val="center"/>
    </w:pPr>
    <w:rPr>
      <w:b/>
      <w:sz w:val="21"/>
    </w:rPr>
  </w:style>
  <w:style w:type="paragraph" w:customStyle="1" w:styleId="25">
    <w:name w:val="表格"/>
    <w:basedOn w:val="1"/>
    <w:qFormat/>
    <w:uiPriority w:val="0"/>
    <w:pPr>
      <w:widowControl/>
      <w:spacing w:line="360" w:lineRule="exact"/>
      <w:ind w:firstLine="0" w:firstLineChars="0"/>
    </w:pPr>
  </w:style>
  <w:style w:type="paragraph" w:customStyle="1" w:styleId="26">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样式3"/>
    <w:basedOn w:val="20"/>
    <w:qFormat/>
    <w:uiPriority w:val="0"/>
    <w:pPr>
      <w:numPr>
        <w:ilvl w:val="0"/>
        <w:numId w:val="2"/>
      </w:numPr>
      <w:adjustRightInd w:val="0"/>
      <w:ind w:firstLine="0" w:firstLineChars="0"/>
    </w:pPr>
    <w:rPr>
      <w:rFonts w:ascii="宋体" w:hAnsi="宋体"/>
      <w:szCs w:val="24"/>
    </w:rPr>
  </w:style>
  <w:style w:type="paragraph" w:customStyle="1" w:styleId="28">
    <w:name w:val="TOC 标题2"/>
    <w:basedOn w:val="2"/>
    <w:next w:val="1"/>
    <w:unhideWhenUsed/>
    <w:qFormat/>
    <w:uiPriority w:val="39"/>
    <w:pPr>
      <w:keepNext/>
      <w:keepLines/>
      <w:numPr>
        <w:numId w:val="0"/>
      </w:numPr>
      <w:adjustRightInd/>
      <w:snapToGrid/>
      <w:spacing w:before="240" w:after="0" w:line="259" w:lineRule="auto"/>
      <w:jc w:val="left"/>
      <w:textAlignment w:val="auto"/>
      <w:outlineLvl w:val="9"/>
    </w:pPr>
    <w:rPr>
      <w:rFonts w:asciiTheme="majorHAnsi" w:hAnsiTheme="majorHAnsi" w:eastAsiaTheme="majorEastAsia" w:cstheme="majorBidi"/>
      <w:bCs w:val="0"/>
      <w:color w:val="2E54A1" w:themeColor="accent1" w:themeShade="BF"/>
      <w:kern w:val="0"/>
      <w:sz w:val="32"/>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emf"/><Relationship Id="rId25" Type="http://schemas.openxmlformats.org/officeDocument/2006/relationships/oleObject" Target="embeddings/oleObject1.bin"/><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microsoft.com/office/2007/relationships/hdphoto" Target="media/image6.wdp"/><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EB8733-0D8B-44C0-BBB1-D9EB54A5B66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1176</Words>
  <Characters>1485</Characters>
  <Lines>209</Lines>
  <Paragraphs>58</Paragraphs>
  <TotalTime>42</TotalTime>
  <ScaleCrop>false</ScaleCrop>
  <LinksUpToDate>false</LinksUpToDate>
  <CharactersWithSpaces>1817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2024-12-28T16:05:00Z</dcterms:created>
  <dc:creator>刘</dc:creator>
  <cp:lastModifiedBy>.</cp:lastModifiedBy>
  <dcterms:modified xsi:type="dcterms:W3CDTF">2025-06-05T07:39:38Z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839C5443D6454D8E931F2ADEC5358460_13</vt:lpwstr>
  </property>
  <property fmtid="{D5CDD505-2E9C-101B-9397-08002B2CF9AE}" pid="4" name="KSOTemplateDocerSaveRecord">
    <vt:lpwstr>eyJoZGlkIjoiODRjNmIxMWZlNDk5OGYyZWRkMzFlZTYyZTg5YjkzNjIiLCJ1c2VySWQiOiIyNTA1MTY4MjcifQ==</vt:lpwstr>
  </property>
</Properties>
</file>