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9217B">
      <w:pPr>
        <w:pStyle w:val="2"/>
      </w:pPr>
      <w:r>
        <w:rPr>
          <w:sz w:val="48"/>
        </w:rPr>
        <w:t>WCS-输送线对接协议说明-V1.1</w:t>
      </w:r>
    </w:p>
    <w:p w14:paraId="0BAD54E3">
      <w:r>
        <w:t>WCS &lt;-&gt; 输送线通讯协议包含一下两个部分：</w:t>
      </w:r>
    </w:p>
    <w:p w14:paraId="17F2B590">
      <w:pPr>
        <w:numPr>
          <w:ilvl w:val="0"/>
          <w:numId w:val="1"/>
        </w:numPr>
      </w:pPr>
      <w:r>
        <w:t>任务下发与完成</w:t>
      </w:r>
    </w:p>
    <w:p w14:paraId="4843905B">
      <w:pPr>
        <w:numPr>
          <w:ilvl w:val="0"/>
          <w:numId w:val="1"/>
        </w:numPr>
      </w:pPr>
      <w:r>
        <w:t>状态查询</w:t>
      </w:r>
    </w:p>
    <w:p w14:paraId="23DFA474">
      <w:pPr>
        <w:pStyle w:val="3"/>
        <w:spacing w:line="204" w:lineRule="auto"/>
      </w:pPr>
      <w:r>
        <w:rPr>
          <w:sz w:val="32"/>
        </w:rPr>
        <w:t>任务下发与完成</w:t>
      </w:r>
    </w:p>
    <w:p w14:paraId="2A681702">
      <w:pPr>
        <w:pStyle w:val="4"/>
        <w:spacing w:line="204" w:lineRule="auto"/>
      </w:pPr>
      <w:r>
        <w:rPr>
          <w:sz w:val="28"/>
        </w:rPr>
        <w:t>WCS数据块（WCS写入，PLC读取 ）</w:t>
      </w:r>
    </w:p>
    <w:p w14:paraId="3E92BFF2">
      <w:r>
        <w:rPr>
          <w:b/>
        </w:rPr>
        <w:t>每段输送线</w:t>
      </w:r>
      <w:r>
        <w:t>包含以下WCS数据:</w:t>
      </w:r>
    </w:p>
    <w:tbl>
      <w:tblPr>
        <w:tblStyle w:val="6"/>
        <w:tblW w:w="1143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0"/>
        <w:gridCol w:w="3641"/>
        <w:gridCol w:w="3703"/>
      </w:tblGrid>
      <w:tr w14:paraId="77FF0C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shd w:val="clear" w:color="auto" w:fill="E8F2FE"/>
            <w:vAlign w:val="center"/>
          </w:tcPr>
          <w:p w14:paraId="2F671A15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变量</w:t>
            </w:r>
          </w:p>
        </w:tc>
        <w:tc>
          <w:tcPr>
            <w:tcW w:w="0" w:type="auto"/>
            <w:shd w:val="clear" w:color="auto" w:fill="E8F2FE"/>
            <w:vAlign w:val="center"/>
          </w:tcPr>
          <w:p w14:paraId="4B7C2C71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数据类型</w:t>
            </w:r>
          </w:p>
        </w:tc>
        <w:tc>
          <w:tcPr>
            <w:tcW w:w="3703" w:type="dxa"/>
            <w:shd w:val="clear" w:color="auto" w:fill="E8F2FE"/>
            <w:vAlign w:val="center"/>
          </w:tcPr>
          <w:p w14:paraId="04B83BDA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注释</w:t>
            </w:r>
          </w:p>
        </w:tc>
      </w:tr>
      <w:tr w14:paraId="4871D8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3D6DE666">
            <w:pPr>
              <w:snapToGrid w:val="0"/>
              <w:ind w:left="0" w:leftChars="0" w:right="0" w:rightChars="0" w:firstLine="0" w:firstLineChars="0"/>
              <w:jc w:val="center"/>
            </w:pPr>
            <w:r>
              <w:t>WCS_ACK</w:t>
            </w:r>
          </w:p>
        </w:tc>
        <w:tc>
          <w:tcPr>
            <w:tcW w:w="0" w:type="auto"/>
            <w:vAlign w:val="center"/>
          </w:tcPr>
          <w:p w14:paraId="661FBD49">
            <w:pPr>
              <w:snapToGrid w:val="0"/>
              <w:ind w:left="0" w:leftChars="0" w:right="0" w:rightChars="0" w:firstLine="0" w:firstLineChars="0"/>
              <w:jc w:val="center"/>
            </w:pPr>
            <w:r>
              <w:t>byte</w:t>
            </w:r>
          </w:p>
        </w:tc>
        <w:tc>
          <w:tcPr>
            <w:tcW w:w="3703" w:type="dxa"/>
            <w:vAlign w:val="center"/>
          </w:tcPr>
          <w:p w14:paraId="2D8F3395">
            <w:pPr>
              <w:snapToGrid w:val="0"/>
              <w:ind w:left="0" w:leftChars="0" w:right="0" w:rightChars="0" w:firstLine="0" w:firstLineChars="0"/>
              <w:jc w:val="center"/>
            </w:pPr>
            <w:r>
              <w:t>WCS确认位</w:t>
            </w:r>
          </w:p>
        </w:tc>
      </w:tr>
      <w:tr w14:paraId="5F97DE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31D59C67">
            <w:pPr>
              <w:snapToGrid w:val="0"/>
              <w:ind w:left="0" w:leftChars="0" w:right="0" w:rightChars="0" w:firstLine="0" w:firstLineChars="0"/>
              <w:jc w:val="center"/>
            </w:pPr>
            <w:r>
              <w:t>WCS_TASK_ID</w:t>
            </w:r>
          </w:p>
        </w:tc>
        <w:tc>
          <w:tcPr>
            <w:tcW w:w="0" w:type="auto"/>
            <w:vAlign w:val="center"/>
          </w:tcPr>
          <w:p w14:paraId="50F8783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DINT</w:t>
            </w:r>
          </w:p>
        </w:tc>
        <w:tc>
          <w:tcPr>
            <w:tcW w:w="3703" w:type="dxa"/>
            <w:vAlign w:val="center"/>
          </w:tcPr>
          <w:p w14:paraId="1167D398">
            <w:pPr>
              <w:snapToGrid w:val="0"/>
              <w:ind w:left="0" w:leftChars="0" w:right="0" w:rightChars="0" w:firstLine="0" w:firstLineChars="0"/>
              <w:jc w:val="center"/>
            </w:pPr>
            <w:r>
              <w:t>任务号</w:t>
            </w:r>
          </w:p>
        </w:tc>
      </w:tr>
      <w:tr w14:paraId="4E45D6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1F6AF444">
            <w:pPr>
              <w:snapToGrid w:val="0"/>
              <w:ind w:left="0" w:leftChars="0" w:right="0" w:rightChars="0" w:firstLine="0" w:firstLineChars="0"/>
              <w:jc w:val="center"/>
            </w:pPr>
            <w:r>
              <w:t>WCS_TARGET_ID</w:t>
            </w:r>
          </w:p>
        </w:tc>
        <w:tc>
          <w:tcPr>
            <w:tcW w:w="0" w:type="auto"/>
            <w:vAlign w:val="center"/>
          </w:tcPr>
          <w:p w14:paraId="4C303A9D">
            <w:pPr>
              <w:snapToGrid w:val="0"/>
              <w:ind w:left="0" w:leftChars="0" w:right="0" w:rightChars="0" w:firstLine="0" w:firstLineChars="0"/>
              <w:jc w:val="center"/>
            </w:pPr>
            <w:r>
              <w:t>int</w:t>
            </w:r>
          </w:p>
        </w:tc>
        <w:tc>
          <w:tcPr>
            <w:tcW w:w="3703" w:type="dxa"/>
            <w:vAlign w:val="center"/>
          </w:tcPr>
          <w:p w14:paraId="5F868B2C">
            <w:pPr>
              <w:snapToGrid w:val="0"/>
              <w:ind w:left="0" w:leftChars="0" w:right="0" w:rightChars="0" w:firstLine="0" w:firstLineChars="0"/>
              <w:jc w:val="center"/>
            </w:pPr>
            <w:r>
              <w:t>目标输送线ID</w:t>
            </w:r>
          </w:p>
        </w:tc>
      </w:tr>
      <w:tr w14:paraId="1EDBF9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90" w:type="dxa"/>
            <w:vAlign w:val="center"/>
          </w:tcPr>
          <w:p w14:paraId="634BB5FC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3641" w:type="dxa"/>
            <w:vAlign w:val="center"/>
          </w:tcPr>
          <w:p w14:paraId="2544DE2D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3703" w:type="dxa"/>
            <w:vAlign w:val="center"/>
          </w:tcPr>
          <w:p w14:paraId="679F94E4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其他补充字段</w:t>
            </w:r>
          </w:p>
        </w:tc>
      </w:tr>
    </w:tbl>
    <w:p w14:paraId="5829546E">
      <w:pPr>
        <w:pStyle w:val="4"/>
        <w:spacing w:line="204" w:lineRule="auto"/>
      </w:pPr>
      <w:r>
        <w:rPr>
          <w:sz w:val="28"/>
        </w:rPr>
        <w:t>PLC数据块（PLC写入，WCS读取）</w:t>
      </w:r>
    </w:p>
    <w:p w14:paraId="6BE74D39">
      <w:r>
        <w:rPr>
          <w:b/>
        </w:rPr>
        <w:t>每段输送线</w:t>
      </w:r>
      <w:r>
        <w:t>包含以下PLC数据:</w:t>
      </w:r>
    </w:p>
    <w:tbl>
      <w:tblPr>
        <w:tblStyle w:val="6"/>
        <w:tblW w:w="1143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0"/>
        <w:gridCol w:w="3710"/>
        <w:gridCol w:w="3774"/>
      </w:tblGrid>
      <w:tr w14:paraId="445633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shd w:val="clear" w:color="auto" w:fill="E8F2FE"/>
            <w:vAlign w:val="center"/>
          </w:tcPr>
          <w:p w14:paraId="5697DAFB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变量</w:t>
            </w:r>
          </w:p>
        </w:tc>
        <w:tc>
          <w:tcPr>
            <w:tcW w:w="0" w:type="auto"/>
            <w:shd w:val="clear" w:color="auto" w:fill="E8F2FE"/>
            <w:vAlign w:val="center"/>
          </w:tcPr>
          <w:p w14:paraId="73D1E1AC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数据类型</w:t>
            </w:r>
          </w:p>
        </w:tc>
        <w:tc>
          <w:tcPr>
            <w:tcW w:w="3774" w:type="dxa"/>
            <w:shd w:val="clear" w:color="auto" w:fill="E8F2FE"/>
            <w:vAlign w:val="center"/>
          </w:tcPr>
          <w:p w14:paraId="7422B312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注释</w:t>
            </w:r>
          </w:p>
        </w:tc>
      </w:tr>
      <w:tr w14:paraId="522DB3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6617A4B0">
            <w:pPr>
              <w:snapToGrid w:val="0"/>
              <w:ind w:left="0" w:leftChars="0" w:right="0" w:rightChars="0" w:firstLine="0" w:firstLineChars="0"/>
              <w:jc w:val="center"/>
            </w:pPr>
            <w:r>
              <w:t>PLC_STB</w:t>
            </w:r>
          </w:p>
        </w:tc>
        <w:tc>
          <w:tcPr>
            <w:tcW w:w="0" w:type="auto"/>
            <w:vAlign w:val="center"/>
          </w:tcPr>
          <w:p w14:paraId="64263C66">
            <w:pPr>
              <w:snapToGrid w:val="0"/>
              <w:ind w:left="0" w:leftChars="0" w:right="0" w:rightChars="0" w:firstLine="0" w:firstLineChars="0"/>
              <w:jc w:val="left"/>
            </w:pPr>
            <w:r>
              <w:t>byte</w:t>
            </w:r>
          </w:p>
        </w:tc>
        <w:tc>
          <w:tcPr>
            <w:tcW w:w="3774" w:type="dxa"/>
            <w:vAlign w:val="center"/>
          </w:tcPr>
          <w:p w14:paraId="0D61F293">
            <w:pPr>
              <w:snapToGrid w:val="0"/>
              <w:ind w:left="0" w:leftChars="0" w:right="0" w:rightChars="0" w:firstLine="0" w:firstLineChars="0"/>
              <w:jc w:val="left"/>
            </w:pPr>
            <w:r>
              <w:t>PLC通讯位置</w:t>
            </w:r>
          </w:p>
        </w:tc>
      </w:tr>
      <w:tr w14:paraId="1DF245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4D5E81FE">
            <w:pPr>
              <w:snapToGrid w:val="0"/>
              <w:ind w:left="0" w:leftChars="0" w:right="0" w:rightChars="0" w:firstLine="0" w:firstLineChars="0"/>
              <w:jc w:val="center"/>
            </w:pPr>
            <w:r>
              <w:t>PLC_TASK_ID</w:t>
            </w:r>
          </w:p>
        </w:tc>
        <w:tc>
          <w:tcPr>
            <w:tcW w:w="0" w:type="auto"/>
            <w:vAlign w:val="center"/>
          </w:tcPr>
          <w:p w14:paraId="0E3790C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DINT</w:t>
            </w:r>
          </w:p>
        </w:tc>
        <w:tc>
          <w:tcPr>
            <w:tcW w:w="3774" w:type="dxa"/>
            <w:vAlign w:val="center"/>
          </w:tcPr>
          <w:p w14:paraId="27A235A0">
            <w:pPr>
              <w:snapToGrid w:val="0"/>
              <w:ind w:left="0" w:leftChars="0" w:right="0" w:rightChars="0" w:firstLine="0" w:firstLineChars="0"/>
              <w:jc w:val="left"/>
            </w:pPr>
            <w:r>
              <w:t>任务号</w:t>
            </w:r>
          </w:p>
        </w:tc>
      </w:tr>
      <w:tr w14:paraId="62387F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46C1597F">
            <w:pPr>
              <w:snapToGrid w:val="0"/>
              <w:ind w:left="0" w:leftChars="0" w:right="0" w:rightChars="0" w:firstLine="0" w:firstLineChars="0"/>
              <w:jc w:val="center"/>
            </w:pPr>
            <w:r>
              <w:t>PLC_TARGET_ID</w:t>
            </w:r>
          </w:p>
        </w:tc>
        <w:tc>
          <w:tcPr>
            <w:tcW w:w="0" w:type="auto"/>
            <w:vAlign w:val="center"/>
          </w:tcPr>
          <w:p w14:paraId="38295C80">
            <w:pPr>
              <w:snapToGrid w:val="0"/>
              <w:ind w:left="0" w:leftChars="0" w:right="0" w:rightChars="0" w:firstLine="0" w:firstLineChars="0"/>
              <w:jc w:val="left"/>
            </w:pPr>
            <w:r>
              <w:t>int</w:t>
            </w:r>
          </w:p>
        </w:tc>
        <w:tc>
          <w:tcPr>
            <w:tcW w:w="3774" w:type="dxa"/>
            <w:vAlign w:val="center"/>
          </w:tcPr>
          <w:p w14:paraId="50898931">
            <w:pPr>
              <w:snapToGrid w:val="0"/>
              <w:ind w:left="0" w:leftChars="0" w:right="0" w:rightChars="0" w:firstLine="0" w:firstLineChars="0"/>
              <w:jc w:val="left"/>
            </w:pPr>
            <w:r>
              <w:t>目标输送线ID</w:t>
            </w:r>
          </w:p>
        </w:tc>
      </w:tr>
      <w:tr w14:paraId="672614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55213A64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PALLET_CODE</w:t>
            </w:r>
          </w:p>
        </w:tc>
        <w:tc>
          <w:tcPr>
            <w:tcW w:w="0" w:type="auto"/>
            <w:vAlign w:val="center"/>
          </w:tcPr>
          <w:p w14:paraId="0827CE8A">
            <w:pPr>
              <w:snapToGrid w:val="0"/>
              <w:ind w:left="0" w:leftChars="0" w:right="0" w:rightChars="0" w:firstLine="0" w:firstLineChars="0"/>
              <w:jc w:val="left"/>
            </w:pPr>
            <w:r>
              <w:rPr>
                <w:rFonts w:hint="eastAsia"/>
              </w:rPr>
              <w:t>string</w:t>
            </w:r>
          </w:p>
        </w:tc>
        <w:tc>
          <w:tcPr>
            <w:tcW w:w="3774" w:type="dxa"/>
            <w:vAlign w:val="center"/>
          </w:tcPr>
          <w:p w14:paraId="032048D3">
            <w:pPr>
              <w:snapToGrid w:val="0"/>
              <w:ind w:left="0" w:leftChars="0" w:right="0" w:rightChars="0" w:firstLine="0" w:firstLineChars="0"/>
              <w:jc w:val="left"/>
            </w:pPr>
            <w:r>
              <w:rPr>
                <w:rFonts w:hint="eastAsia"/>
              </w:rPr>
              <w:t>托盘码</w:t>
            </w:r>
          </w:p>
        </w:tc>
      </w:tr>
      <w:tr w14:paraId="424172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950" w:type="dxa"/>
            <w:vAlign w:val="center"/>
          </w:tcPr>
          <w:p w14:paraId="2479BE4A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3710" w:type="dxa"/>
            <w:vAlign w:val="center"/>
          </w:tcPr>
          <w:p w14:paraId="70745945">
            <w:pPr>
              <w:snapToGrid w:val="0"/>
              <w:ind w:left="0" w:leftChars="0" w:right="0" w:rightChars="0" w:firstLine="0" w:firstLineChars="0"/>
              <w:jc w:val="left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3774" w:type="dxa"/>
            <w:vAlign w:val="center"/>
          </w:tcPr>
          <w:p w14:paraId="14C1F5A4">
            <w:pPr>
              <w:snapToGrid w:val="0"/>
              <w:ind w:left="0" w:leftChars="0" w:right="0" w:rightChars="0" w:firstLine="0" w:firstLineChars="0"/>
              <w:jc w:val="left"/>
            </w:pPr>
            <w:r>
              <w:rPr>
                <w:rFonts w:hint="eastAsia"/>
              </w:rPr>
              <w:t>其他补充字段</w:t>
            </w:r>
          </w:p>
        </w:tc>
      </w:tr>
    </w:tbl>
    <w:p w14:paraId="61DDD58D">
      <w:pPr>
        <w:pStyle w:val="3"/>
        <w:spacing w:line="204" w:lineRule="auto"/>
      </w:pPr>
      <w:r>
        <w:rPr>
          <w:sz w:val="32"/>
        </w:rPr>
        <w:t>任务下发步骤</w:t>
      </w:r>
    </w:p>
    <w:p w14:paraId="2167F76D">
      <w:pPr>
        <w:numPr>
          <w:ilvl w:val="0"/>
          <w:numId w:val="2"/>
        </w:numPr>
      </w:pPr>
      <w:r>
        <w:rPr>
          <w:rFonts w:hint="eastAsia"/>
        </w:rPr>
        <w:t>PLC扫码，写入PALLET_CODE，并</w:t>
      </w:r>
      <w:r>
        <w:t>PLC_STB</w:t>
      </w:r>
      <w:r>
        <w:rPr>
          <w:rFonts w:hint="eastAsia"/>
        </w:rPr>
        <w:t>=1</w:t>
      </w:r>
    </w:p>
    <w:p w14:paraId="59AC1637">
      <w:pPr>
        <w:numPr>
          <w:ilvl w:val="0"/>
          <w:numId w:val="2"/>
        </w:numPr>
      </w:pPr>
      <w:r>
        <w:t>WCS</w:t>
      </w:r>
      <w:r>
        <w:rPr>
          <w:rFonts w:hint="eastAsia"/>
        </w:rPr>
        <w:t>读取PLC地址块，监听到PALLET_CODE不为空，且</w:t>
      </w:r>
      <w:r>
        <w:t>PLC_STB</w:t>
      </w:r>
      <w:r>
        <w:rPr>
          <w:rFonts w:hint="eastAsia"/>
        </w:rPr>
        <w:t>=1后，写入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，最后写入</w:t>
      </w:r>
      <w:r>
        <w:t>WCS_ACK</w:t>
      </w:r>
      <w:r>
        <w:rPr>
          <w:rFonts w:hint="eastAsia"/>
        </w:rPr>
        <w:t>=1</w:t>
      </w:r>
    </w:p>
    <w:p w14:paraId="033140A1">
      <w:pPr>
        <w:numPr>
          <w:ilvl w:val="0"/>
          <w:numId w:val="2"/>
        </w:numPr>
      </w:pPr>
      <w:r>
        <w:rPr>
          <w:rFonts w:hint="eastAsia"/>
        </w:rPr>
        <w:t>PLC收到</w:t>
      </w:r>
      <w:r>
        <w:t>WCS_ACK</w:t>
      </w:r>
      <w:r>
        <w:rPr>
          <w:rFonts w:hint="eastAsia"/>
        </w:rPr>
        <w:t>=1，并把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拷贝到自己地址块后，设置</w:t>
      </w:r>
      <w:r>
        <w:t>PLC_STB</w:t>
      </w:r>
      <w:r>
        <w:rPr>
          <w:rFonts w:hint="eastAsia"/>
        </w:rPr>
        <w:t>=0。</w:t>
      </w:r>
    </w:p>
    <w:p w14:paraId="556628E0">
      <w:pPr>
        <w:numPr>
          <w:ilvl w:val="0"/>
          <w:numId w:val="2"/>
        </w:numPr>
      </w:pPr>
      <w:r>
        <w:rPr>
          <w:rFonts w:hint="eastAsia"/>
        </w:rPr>
        <w:t>WCS监听到</w:t>
      </w:r>
      <w:r>
        <w:t>PLC_STB</w:t>
      </w:r>
      <w:r>
        <w:rPr>
          <w:rFonts w:hint="eastAsia"/>
        </w:rPr>
        <w:t>=0后，清空所有WCS地址块信息，并设置</w:t>
      </w:r>
      <w:r>
        <w:t>WCS_ACK</w:t>
      </w:r>
      <w:r>
        <w:rPr>
          <w:rFonts w:hint="eastAsia"/>
        </w:rPr>
        <w:t>=0。</w:t>
      </w:r>
    </w:p>
    <w:p w14:paraId="57452D4D">
      <w:pPr>
        <w:numPr>
          <w:ilvl w:val="0"/>
          <w:numId w:val="2"/>
        </w:numPr>
      </w:pPr>
      <w:r>
        <w:rPr>
          <w:rFonts w:hint="eastAsia"/>
          <w:color w:val="FE0300"/>
        </w:rPr>
        <w:t>完成以上交互后，托盘开始运输</w:t>
      </w:r>
    </w:p>
    <w:p w14:paraId="62614281">
      <w:r>
        <w:t>注：如果Task_ID和PLC当前正在执行的任务或者上次执行的任务的Task_ID相同，PLC需要忽略该次任务下发。</w:t>
      </w:r>
    </w:p>
    <w:p w14:paraId="00138D79">
      <w:pPr>
        <w:pStyle w:val="3"/>
        <w:spacing w:line="204" w:lineRule="auto"/>
      </w:pPr>
      <w:r>
        <w:rPr>
          <w:sz w:val="32"/>
        </w:rPr>
        <w:t>任务</w:t>
      </w:r>
      <w:r>
        <w:rPr>
          <w:rFonts w:hint="eastAsia"/>
          <w:sz w:val="32"/>
        </w:rPr>
        <w:t>继续步骤(中间交互点，需要继续流转的情况)</w:t>
      </w:r>
    </w:p>
    <w:p w14:paraId="2424E49F">
      <w:pPr>
        <w:numPr>
          <w:ilvl w:val="0"/>
          <w:numId w:val="2"/>
        </w:numPr>
      </w:pPr>
      <w:r>
        <w:rPr>
          <w:rFonts w:hint="eastAsia"/>
          <w:color w:val="404040"/>
        </w:rPr>
        <w:t>同任务下发步骤。托盘到位后，重新发起</w:t>
      </w:r>
      <w:r>
        <w:t>PLC_STB</w:t>
      </w:r>
      <w:r>
        <w:rPr>
          <w:rFonts w:hint="eastAsia"/>
        </w:rPr>
        <w:t>=1，请求新的目标地址。</w:t>
      </w:r>
    </w:p>
    <w:p w14:paraId="33EE40DD">
      <w:pPr>
        <w:numPr>
          <w:ilvl w:val="0"/>
          <w:numId w:val="2"/>
        </w:numPr>
      </w:pPr>
      <w:r>
        <w:t>WCS</w:t>
      </w:r>
      <w:r>
        <w:rPr>
          <w:rFonts w:hint="eastAsia"/>
        </w:rPr>
        <w:t>读取PLC地址块，监听到PALLET_COD等于本流程内部记住的托盘码后，写入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，最后写入</w:t>
      </w:r>
      <w:r>
        <w:t>WCS_ACK</w:t>
      </w:r>
      <w:r>
        <w:rPr>
          <w:rFonts w:hint="eastAsia"/>
        </w:rPr>
        <w:t>=1</w:t>
      </w:r>
    </w:p>
    <w:p w14:paraId="066A05EC">
      <w:pPr>
        <w:numPr>
          <w:ilvl w:val="0"/>
          <w:numId w:val="2"/>
        </w:numPr>
      </w:pPr>
      <w:r>
        <w:rPr>
          <w:rFonts w:hint="eastAsia"/>
        </w:rPr>
        <w:t>PLC收到</w:t>
      </w:r>
      <w:r>
        <w:t>WCS_ACK</w:t>
      </w:r>
      <w:r>
        <w:rPr>
          <w:rFonts w:hint="eastAsia"/>
        </w:rPr>
        <w:t>=1，并把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拷贝到自己地址块后，设置</w:t>
      </w:r>
      <w:r>
        <w:t>PLC_STB</w:t>
      </w:r>
      <w:r>
        <w:rPr>
          <w:rFonts w:hint="eastAsia"/>
        </w:rPr>
        <w:t>=0。</w:t>
      </w:r>
    </w:p>
    <w:p w14:paraId="26F43786">
      <w:pPr>
        <w:numPr>
          <w:ilvl w:val="0"/>
          <w:numId w:val="2"/>
        </w:numPr>
      </w:pPr>
      <w:r>
        <w:rPr>
          <w:rFonts w:hint="eastAsia"/>
        </w:rPr>
        <w:t>WCS监听到</w:t>
      </w:r>
      <w:r>
        <w:t>PLC_STB</w:t>
      </w:r>
      <w:r>
        <w:rPr>
          <w:rFonts w:hint="eastAsia"/>
        </w:rPr>
        <w:t>=0后，清空所有WCS地址块信息，并设置</w:t>
      </w:r>
      <w:r>
        <w:t>WCS_ACK</w:t>
      </w:r>
      <w:r>
        <w:rPr>
          <w:rFonts w:hint="eastAsia"/>
        </w:rPr>
        <w:t>=0。</w:t>
      </w:r>
    </w:p>
    <w:p w14:paraId="1B312CB1">
      <w:pPr>
        <w:numPr>
          <w:ilvl w:val="0"/>
          <w:numId w:val="2"/>
        </w:numPr>
        <w:rPr>
          <w:b/>
          <w:sz w:val="32"/>
        </w:rPr>
      </w:pPr>
      <w:r>
        <w:rPr>
          <w:rFonts w:hint="eastAsia"/>
          <w:color w:val="FE0300"/>
        </w:rPr>
        <w:t>完成以上交互后，托盘开始运输</w:t>
      </w:r>
    </w:p>
    <w:p w14:paraId="3752E431">
      <w:pPr>
        <w:rPr>
          <w:b/>
          <w:sz w:val="32"/>
        </w:rPr>
      </w:pPr>
    </w:p>
    <w:p w14:paraId="6FA8CE38">
      <w:pPr>
        <w:pStyle w:val="3"/>
        <w:spacing w:line="204" w:lineRule="auto"/>
      </w:pPr>
      <w:r>
        <w:rPr>
          <w:sz w:val="32"/>
        </w:rPr>
        <w:t>任务完成步骤</w:t>
      </w:r>
      <w:r>
        <w:rPr>
          <w:rFonts w:hint="eastAsia"/>
          <w:sz w:val="32"/>
        </w:rPr>
        <w:t>（到达入库口，不需要继续流转的情况）</w:t>
      </w:r>
    </w:p>
    <w:p w14:paraId="3886F2CA">
      <w:pPr>
        <w:numPr>
          <w:ilvl w:val="0"/>
          <w:numId w:val="3"/>
        </w:numPr>
      </w:pPr>
      <w:r>
        <w:rPr>
          <w:rFonts w:hint="eastAsia"/>
          <w:color w:val="404040"/>
        </w:rPr>
        <w:t>托盘到达目标位后，需要扫码则扫码，不需要扫码则使用携带的原托盘码。</w:t>
      </w:r>
    </w:p>
    <w:p w14:paraId="55DA0B0B">
      <w:pPr>
        <w:numPr>
          <w:ilvl w:val="0"/>
          <w:numId w:val="3"/>
        </w:numPr>
      </w:pPr>
      <w:r>
        <w:rPr>
          <w:rFonts w:hint="eastAsia"/>
        </w:rPr>
        <w:t>携带任务号，PLC发起</w:t>
      </w:r>
      <w:r>
        <w:t>PLC_STB</w:t>
      </w:r>
      <w:r>
        <w:rPr>
          <w:rFonts w:hint="eastAsia"/>
        </w:rPr>
        <w:t>=2，发起完成任务请求</w:t>
      </w:r>
    </w:p>
    <w:p w14:paraId="4B0140EF">
      <w:pPr>
        <w:numPr>
          <w:ilvl w:val="0"/>
          <w:numId w:val="3"/>
        </w:numPr>
      </w:pPr>
      <w:r>
        <w:rPr>
          <w:rFonts w:hint="eastAsia"/>
        </w:rPr>
        <w:t>WCS校验任务号和托盘码无误后回复</w:t>
      </w:r>
      <w:r>
        <w:t>WCS_ACK</w:t>
      </w:r>
      <w:r>
        <w:rPr>
          <w:rFonts w:hint="eastAsia"/>
        </w:rPr>
        <w:t>=2，</w:t>
      </w:r>
    </w:p>
    <w:p w14:paraId="03D195A2">
      <w:pPr>
        <w:numPr>
          <w:ilvl w:val="0"/>
          <w:numId w:val="3"/>
        </w:numPr>
      </w:pPr>
      <w:r>
        <w:rPr>
          <w:rFonts w:hint="eastAsia"/>
        </w:rPr>
        <w:t>PLC收到</w:t>
      </w:r>
      <w:r>
        <w:t>WCS_ACK</w:t>
      </w:r>
      <w:r>
        <w:rPr>
          <w:rFonts w:hint="eastAsia"/>
        </w:rPr>
        <w:t>=2，清空PLC地址块所有信息</w:t>
      </w:r>
    </w:p>
    <w:p w14:paraId="1735A0B5">
      <w:pPr>
        <w:numPr>
          <w:ilvl w:val="0"/>
          <w:numId w:val="3"/>
        </w:numPr>
      </w:pPr>
      <w:r>
        <w:rPr>
          <w:rFonts w:hint="eastAsia"/>
        </w:rPr>
        <w:t>WCS收到</w:t>
      </w:r>
      <w:r>
        <w:t>PLC_STB</w:t>
      </w:r>
      <w:r>
        <w:rPr>
          <w:rFonts w:hint="eastAsia"/>
        </w:rPr>
        <w:t>=0，清空地址块所有信息</w:t>
      </w:r>
    </w:p>
    <w:p w14:paraId="40A77344">
      <w:pPr>
        <w:pStyle w:val="2"/>
        <w:spacing w:line="204" w:lineRule="auto"/>
      </w:pPr>
      <w:r>
        <w:rPr>
          <w:sz w:val="40"/>
        </w:rPr>
        <w:t>状态查询</w:t>
      </w:r>
    </w:p>
    <w:p w14:paraId="7D4E61CE"/>
    <w:tbl>
      <w:tblPr>
        <w:tblStyle w:val="6"/>
        <w:tblW w:w="1143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2"/>
        <w:gridCol w:w="2296"/>
        <w:gridCol w:w="5046"/>
      </w:tblGrid>
      <w:tr w14:paraId="087A5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shd w:val="clear" w:color="auto" w:fill="E8F2FE"/>
            <w:vAlign w:val="center"/>
          </w:tcPr>
          <w:p w14:paraId="4C655EA1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变量</w:t>
            </w:r>
          </w:p>
        </w:tc>
        <w:tc>
          <w:tcPr>
            <w:tcW w:w="0" w:type="auto"/>
            <w:shd w:val="clear" w:color="auto" w:fill="E8F2FE"/>
            <w:vAlign w:val="center"/>
          </w:tcPr>
          <w:p w14:paraId="77756609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数据类型</w:t>
            </w:r>
          </w:p>
        </w:tc>
        <w:tc>
          <w:tcPr>
            <w:tcW w:w="5046" w:type="dxa"/>
            <w:shd w:val="clear" w:color="auto" w:fill="E8F2FE"/>
            <w:vAlign w:val="center"/>
          </w:tcPr>
          <w:p w14:paraId="42112402">
            <w:pPr>
              <w:snapToGrid w:val="0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注释</w:t>
            </w:r>
          </w:p>
        </w:tc>
      </w:tr>
      <w:tr w14:paraId="3E39C1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vAlign w:val="center"/>
          </w:tcPr>
          <w:p w14:paraId="3AE65954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WCS</w:t>
            </w:r>
            <w:r>
              <w:t>_ERROR_CODE</w:t>
            </w:r>
          </w:p>
        </w:tc>
        <w:tc>
          <w:tcPr>
            <w:tcW w:w="0" w:type="auto"/>
            <w:vAlign w:val="center"/>
          </w:tcPr>
          <w:p w14:paraId="52FE9EDC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5046" w:type="dxa"/>
            <w:vAlign w:val="center"/>
          </w:tcPr>
          <w:p w14:paraId="1CDC3D69">
            <w:pPr>
              <w:snapToGrid w:val="0"/>
              <w:ind w:left="0" w:leftChars="0" w:right="0" w:rightChars="0" w:firstLine="0" w:firstLineChars="0"/>
              <w:jc w:val="center"/>
            </w:pPr>
            <w:r>
              <w:t>故障代码</w:t>
            </w:r>
          </w:p>
        </w:tc>
      </w:tr>
      <w:tr w14:paraId="373D05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092" w:type="dxa"/>
            <w:vAlign w:val="center"/>
          </w:tcPr>
          <w:p w14:paraId="4EB79751">
            <w:pPr>
              <w:snapToGrid w:val="0"/>
              <w:ind w:left="0" w:leftChars="0" w:right="0" w:rightChars="0" w:firstLine="0" w:firstLineChars="0"/>
              <w:jc w:val="center"/>
            </w:pPr>
            <w:r>
              <w:t>Equ_Auto</w:t>
            </w:r>
          </w:p>
        </w:tc>
        <w:tc>
          <w:tcPr>
            <w:tcW w:w="2296" w:type="dxa"/>
            <w:vAlign w:val="center"/>
          </w:tcPr>
          <w:p w14:paraId="4E39CECC">
            <w:pPr>
              <w:snapToGrid w:val="0"/>
              <w:ind w:left="0" w:leftChars="0" w:right="0" w:rightChars="0" w:firstLine="0" w:firstLineChars="0"/>
              <w:jc w:val="center"/>
            </w:pPr>
            <w:r>
              <w:rPr>
                <w:rFonts w:hint="eastAsia"/>
              </w:rPr>
              <w:t>int</w:t>
            </w:r>
          </w:p>
        </w:tc>
        <w:tc>
          <w:tcPr>
            <w:tcW w:w="5046" w:type="dxa"/>
            <w:vAlign w:val="center"/>
          </w:tcPr>
          <w:p w14:paraId="19FA5F71">
            <w:pPr>
              <w:snapToGrid w:val="0"/>
              <w:ind w:left="0" w:leftChars="0" w:right="0" w:rightChars="0" w:firstLine="0" w:firstLineChars="0"/>
              <w:jc w:val="center"/>
            </w:pPr>
            <w:r>
              <w:t>输送线 手动1，自动2</w:t>
            </w:r>
          </w:p>
        </w:tc>
      </w:tr>
    </w:tbl>
    <w:p w14:paraId="6A65CFA9">
      <w:pPr>
        <w:rPr>
          <w:rFonts w:hint="eastAsia"/>
        </w:rPr>
      </w:pPr>
    </w:p>
    <w:p w14:paraId="163F636F"/>
    <w:p w14:paraId="079F49EB"/>
    <w:p w14:paraId="0C280110">
      <w:pPr>
        <w:rPr>
          <w:rFonts w:hint="eastAsia"/>
        </w:rPr>
      </w:pPr>
      <w:r>
        <w:rPr>
          <w:rFonts w:hint="eastAsia"/>
        </w:rPr>
        <w:t>以下是对原始需求的优化描述，更适合提供给 Codex 生成逻辑代码：</w:t>
      </w:r>
    </w:p>
    <w:p w14:paraId="600385EC">
      <w:pPr>
        <w:rPr>
          <w:rFonts w:hint="eastAsia"/>
        </w:rPr>
      </w:pPr>
    </w:p>
    <w:p w14:paraId="3AB11580">
      <w:pPr>
        <w:rPr>
          <w:rFonts w:hint="eastAsia"/>
        </w:rPr>
      </w:pPr>
      <w:r>
        <w:rPr>
          <w:rFonts w:hint="eastAsia"/>
        </w:rPr>
        <w:t>---</w:t>
      </w:r>
    </w:p>
    <w:p w14:paraId="627936CC">
      <w:pPr>
        <w:rPr>
          <w:rFonts w:hint="eastAsia"/>
        </w:rPr>
      </w:pPr>
    </w:p>
    <w:p w14:paraId="0DA2A52D">
      <w:pPr>
        <w:rPr>
          <w:rFonts w:hint="eastAsia"/>
        </w:rPr>
      </w:pPr>
      <w:r>
        <w:rPr>
          <w:rFonts w:hint="eastAsia"/>
        </w:rPr>
        <w:t xml:space="preserve">**需求描述**  </w:t>
      </w:r>
    </w:p>
    <w:p w14:paraId="6C7899D4">
      <w:pPr>
        <w:rPr>
          <w:rFonts w:hint="eastAsia"/>
        </w:rPr>
      </w:pPr>
      <w:r>
        <w:rPr>
          <w:rFonts w:hint="eastAsia"/>
        </w:rPr>
        <w:t>请根据以下逻辑编写</w:t>
      </w:r>
      <w:r>
        <w:rPr>
          <w:rFonts w:hint="eastAsia" w:ascii="新宋体" w:hAnsi="新宋体" w:eastAsia="新宋体"/>
          <w:color w:val="0000FF"/>
          <w:sz w:val="19"/>
          <w:szCs w:val="24"/>
          <w:highlight w:val="white"/>
        </w:rPr>
        <w:t>StackerInteractionProtocolHandler</w:t>
      </w:r>
      <w:r>
        <w:rPr>
          <w:rFonts w:hint="eastAsia"/>
        </w:rPr>
        <w:t>代码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：</w:t>
      </w:r>
    </w:p>
    <w:p w14:paraId="12B166D4">
      <w:pPr>
        <w:rPr>
          <w:rFonts w:hint="eastAsia"/>
        </w:rPr>
      </w:pPr>
    </w:p>
    <w:p w14:paraId="6332AFDB">
      <w:pPr>
        <w:rPr>
          <w:rFonts w:hint="eastAsia"/>
        </w:rPr>
      </w:pPr>
      <w:r>
        <w:rPr>
          <w:rFonts w:hint="eastAsia"/>
        </w:rPr>
        <w:t xml:space="preserve">1. **初始化**  </w:t>
      </w:r>
    </w:p>
    <w:p w14:paraId="62A9C75C">
      <w:pPr>
        <w:rPr>
          <w:rFonts w:hint="eastAsia"/>
        </w:rPr>
      </w:pPr>
      <w:r>
        <w:rPr>
          <w:rFonts w:hint="eastAsia"/>
        </w:rPr>
        <w:t xml:space="preserve">   - 设置</w:t>
      </w:r>
      <w:r>
        <w:rPr>
          <w:rFonts w:hint="eastAsia"/>
          <w:lang w:val="en-US" w:eastAsia="zh-CN"/>
        </w:rPr>
        <w:t>DB</w:t>
      </w:r>
      <w:r>
        <w:rPr>
          <w:rFonts w:hint="eastAsia"/>
        </w:rPr>
        <w:t>变量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`offset2 = 5`  </w:t>
      </w:r>
    </w:p>
    <w:p w14:paraId="09EBCCFE">
      <w:pPr>
        <w:rPr>
          <w:rFonts w:hint="eastAsia"/>
        </w:rPr>
      </w:pPr>
      <w:r>
        <w:rPr>
          <w:rFonts w:hint="eastAsia"/>
        </w:rPr>
        <w:t xml:space="preserve">   - 设置</w:t>
      </w:r>
      <w:r>
        <w:rPr>
          <w:rFonts w:hint="eastAsia"/>
          <w:lang w:val="en-US" w:eastAsia="zh-CN"/>
        </w:rPr>
        <w:t>DB</w:t>
      </w:r>
      <w:r>
        <w:rPr>
          <w:rFonts w:hint="eastAsia"/>
        </w:rPr>
        <w:t xml:space="preserve">变量 `offset4 = 1`  </w:t>
      </w:r>
    </w:p>
    <w:p w14:paraId="78627543">
      <w:pPr>
        <w:rPr>
          <w:rFonts w:hint="eastAsia"/>
        </w:rPr>
      </w:pPr>
      <w:r>
        <w:rPr>
          <w:rFonts w:hint="eastAsia"/>
        </w:rPr>
        <w:t xml:space="preserve">   - 设置</w:t>
      </w:r>
      <w:r>
        <w:rPr>
          <w:rFonts w:hint="eastAsia"/>
          <w:lang w:val="en-US" w:eastAsia="zh-CN"/>
        </w:rPr>
        <w:t>DB</w:t>
      </w:r>
      <w:r>
        <w:rPr>
          <w:rFonts w:hint="eastAsia"/>
        </w:rPr>
        <w:t>变量 `offset96 = 1`</w:t>
      </w:r>
    </w:p>
    <w:p w14:paraId="6FDCDBB3">
      <w:pPr>
        <w:rPr>
          <w:rFonts w:hint="eastAsia"/>
        </w:rPr>
      </w:pPr>
      <w:r>
        <w:rPr>
          <w:rFonts w:hint="eastAsia"/>
        </w:rPr>
        <w:t xml:space="preserve">2. **事件触发**  </w:t>
      </w:r>
    </w:p>
    <w:p w14:paraId="7A3374D8">
      <w:pPr>
        <w:rPr>
          <w:rFonts w:hint="eastAsia"/>
        </w:rPr>
      </w:pPr>
      <w:r>
        <w:rPr>
          <w:rFonts w:hint="eastAsia"/>
        </w:rPr>
        <w:t xml:space="preserve">   当接收到来自 `offse192` 为 `1` 时，执行以下判断：</w:t>
      </w:r>
    </w:p>
    <w:p w14:paraId="71FCEB73">
      <w:pPr>
        <w:rPr>
          <w:rFonts w:hint="eastAsia"/>
        </w:rPr>
      </w:pPr>
      <w:r>
        <w:rPr>
          <w:rFonts w:hint="eastAsia"/>
        </w:rPr>
        <w:t xml:space="preserve">   -  设置</w:t>
      </w:r>
      <w:r>
        <w:rPr>
          <w:rFonts w:hint="eastAsia"/>
          <w:lang w:val="en-US" w:eastAsia="zh-CN"/>
        </w:rPr>
        <w:t>DB</w:t>
      </w:r>
      <w:r>
        <w:rPr>
          <w:rFonts w:hint="eastAsia"/>
        </w:rPr>
        <w:t>变量 `offset24</w:t>
      </w:r>
      <w:r>
        <w:rPr>
          <w:rFonts w:hint="eastAsia"/>
          <w:lang w:val="en-US" w:eastAsia="zh-CN"/>
        </w:rPr>
        <w:t xml:space="preserve">= </w:t>
      </w:r>
      <w:r>
        <w:rPr>
          <w:rFonts w:hint="eastAsia"/>
        </w:rPr>
        <w:t>offse192`。</w:t>
      </w:r>
    </w:p>
    <w:p w14:paraId="258F4402">
      <w:pPr>
        <w:rPr>
          <w:rFonts w:hint="eastAsia"/>
        </w:rPr>
      </w:pPr>
      <w:r>
        <w:rPr>
          <w:rFonts w:hint="eastAsia"/>
        </w:rPr>
        <w:t xml:space="preserve">   -  设置</w:t>
      </w:r>
      <w:r>
        <w:rPr>
          <w:rFonts w:hint="eastAsia"/>
          <w:lang w:val="en-US" w:eastAsia="zh-CN"/>
        </w:rPr>
        <w:t>DB</w:t>
      </w:r>
      <w:r>
        <w:rPr>
          <w:rFonts w:hint="eastAsia"/>
        </w:rPr>
        <w:t xml:space="preserve">变量 `offset4 = 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`。</w:t>
      </w:r>
      <w:bookmarkStart w:id="0" w:name="_GoBack"/>
      <w:bookmarkEnd w:id="0"/>
    </w:p>
    <w:p w14:paraId="7B73DFEA">
      <w:pPr>
        <w:rPr>
          <w:rFonts w:hint="eastAsia"/>
        </w:rPr>
      </w:pPr>
    </w:p>
    <w:p w14:paraId="2272E93A">
      <w:pPr>
        <w:rPr>
          <w:rFonts w:hint="eastAsia"/>
        </w:rPr>
      </w:pPr>
    </w:p>
    <w:p w14:paraId="57F42815">
      <w:pPr>
        <w:rPr>
          <w:rFonts w:hint="eastAsia"/>
        </w:rPr>
      </w:pPr>
      <w:r>
        <w:rPr>
          <w:rFonts w:hint="eastAsia"/>
        </w:rPr>
        <w:t xml:space="preserve">**补充说明**  </w:t>
      </w:r>
    </w:p>
    <w:p w14:paraId="5CA6BBB0">
      <w:pPr>
        <w:rPr>
          <w:rFonts w:hint="eastAsia"/>
        </w:rPr>
      </w:pPr>
      <w:r>
        <w:rPr>
          <w:rFonts w:hint="eastAsia"/>
        </w:rPr>
        <w:t xml:space="preserve">- “写入194的数据” 指将数值 24 写入到地址 194 对应的存储单元。  </w:t>
      </w:r>
    </w:p>
    <w:p w14:paraId="3C37BE88">
      <w:pPr>
        <w:rPr>
          <w:rFonts w:hint="eastAsia"/>
        </w:rPr>
      </w:pPr>
      <w:r>
        <w:rPr>
          <w:rFonts w:hint="eastAsia"/>
        </w:rPr>
        <w:t xml:space="preserve">- “写入0” 指将数值 24 写入到地址 0 对应的存储单元。  </w:t>
      </w:r>
    </w:p>
    <w:p w14:paraId="5942EAD5">
      <w:pPr>
        <w:rPr>
          <w:rFonts w:hint="eastAsia"/>
        </w:rPr>
      </w:pPr>
      <w:r>
        <w:rPr>
          <w:rFonts w:hint="eastAsia"/>
        </w:rPr>
        <w:t xml:space="preserve">- 地址可能代表其他变量或寄存器，请根据实际上下文处理。  </w:t>
      </w:r>
    </w:p>
    <w:p w14:paraId="3719E705">
      <w:pPr>
        <w:rPr>
          <w:rFonts w:hint="eastAsia"/>
        </w:rPr>
      </w:pPr>
      <w:r>
        <w:rPr>
          <w:rFonts w:hint="eastAsia"/>
        </w:rPr>
        <w:t>- 请确保代码能正确响应消息并更新 `offset4` 的值。</w:t>
      </w:r>
    </w:p>
    <w:p w14:paraId="050E6564">
      <w:pPr>
        <w:rPr>
          <w:rFonts w:hint="eastAsia"/>
        </w:rPr>
      </w:pPr>
    </w:p>
    <w:p w14:paraId="248C1982">
      <w:pPr>
        <w:rPr>
          <w:rFonts w:hint="eastAsia"/>
        </w:rPr>
      </w:pPr>
      <w:r>
        <w:rPr>
          <w:rFonts w:hint="eastAsia"/>
        </w:rPr>
        <w:t>---</w:t>
      </w:r>
    </w:p>
    <w:p w14:paraId="028C8C92">
      <w:pPr>
        <w:rPr>
          <w:rFonts w:hint="eastAsia"/>
        </w:rPr>
      </w:pPr>
    </w:p>
    <w:p w14:paraId="0DAA14E1">
      <w:r>
        <w:rPr>
          <w:rFonts w:hint="eastAsia"/>
        </w:rPr>
        <w:t>如果需要更具体的实现（如使用数组、结构体或特定通信协议），请补充细节。</w:t>
      </w:r>
    </w:p>
    <w:sectPr>
      <w:pgSz w:w="13380" w:h="16830"/>
      <w:pgMar w:top="1440" w:right="1080" w:bottom="1440" w:left="1080" w:header="638" w:footer="6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2">
    <w:nsid w:val="59ADCABA"/>
    <w:multiLevelType w:val="singleLevel"/>
    <w:tmpl w:val="59ADCABA"/>
    <w:lvl w:ilvl="0" w:tentative="0">
      <w:start w:val="1"/>
      <w:numFmt w:val="bullet"/>
      <w:lvlText w:val="●"/>
      <w:lvlJc w:val="left"/>
      <w:pPr>
        <w:ind w:left="4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2746A2"/>
    <w:rsid w:val="00456769"/>
    <w:rsid w:val="005A1055"/>
    <w:rsid w:val="006B1B20"/>
    <w:rsid w:val="008307C3"/>
    <w:rsid w:val="00C96077"/>
    <w:rsid w:val="00DE28BA"/>
    <w:rsid w:val="00E34722"/>
    <w:rsid w:val="00E446BD"/>
    <w:rsid w:val="00E839B9"/>
    <w:rsid w:val="00EA581C"/>
    <w:rsid w:val="02506BD3"/>
    <w:rsid w:val="06B264FC"/>
    <w:rsid w:val="093D7B3D"/>
    <w:rsid w:val="0B4207B9"/>
    <w:rsid w:val="12032FE2"/>
    <w:rsid w:val="2A7F425B"/>
    <w:rsid w:val="368B1506"/>
    <w:rsid w:val="390B6905"/>
    <w:rsid w:val="4A786C07"/>
    <w:rsid w:val="5064190C"/>
    <w:rsid w:val="590C4971"/>
    <w:rsid w:val="61972ABD"/>
    <w:rsid w:val="67074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lang w:val="en-US" w:eastAsia="zh-CN" w:bidi="ar-SA"/>
    </w:rPr>
  </w:style>
  <w:style w:type="paragraph" w:styleId="2">
    <w:name w:val="heading 1"/>
    <w:qFormat/>
    <w:uiPriority w:val="0"/>
    <w:pPr>
      <w:keepNext/>
      <w:keepLines/>
      <w:spacing w:before="348" w:after="210"/>
      <w:outlineLvl w:val="0"/>
    </w:pPr>
    <w:rPr>
      <w:rFonts w:asciiTheme="minorHAnsi" w:hAnsiTheme="minorHAnsi" w:eastAsiaTheme="minorEastAsia" w:cstheme="minorBidi"/>
      <w:b/>
      <w:kern w:val="2"/>
      <w:sz w:val="34"/>
      <w:lang w:val="en-US" w:eastAsia="zh-CN" w:bidi="ar-SA"/>
    </w:rPr>
  </w:style>
  <w:style w:type="paragraph" w:styleId="3">
    <w:name w:val="heading 2"/>
    <w:qFormat/>
    <w:uiPriority w:val="0"/>
    <w:pPr>
      <w:keepNext/>
      <w:keepLines/>
      <w:spacing w:before="348" w:after="190"/>
      <w:outlineLvl w:val="1"/>
    </w:pPr>
    <w:rPr>
      <w:rFonts w:asciiTheme="minorHAnsi" w:hAnsiTheme="minorHAnsi" w:eastAsiaTheme="minorEastAsia" w:cstheme="minorBidi"/>
      <w:b/>
      <w:kern w:val="2"/>
      <w:sz w:val="28"/>
      <w:lang w:val="en-US" w:eastAsia="zh-CN" w:bidi="ar-SA"/>
    </w:rPr>
  </w:style>
  <w:style w:type="paragraph" w:styleId="4">
    <w:name w:val="heading 3"/>
    <w:qFormat/>
    <w:uiPriority w:val="0"/>
    <w:pPr>
      <w:keepNext/>
      <w:keepLines/>
      <w:spacing w:before="348" w:after="170"/>
      <w:outlineLvl w:val="2"/>
    </w:pPr>
    <w:rPr>
      <w:rFonts w:asciiTheme="minorHAnsi" w:hAnsiTheme="minorHAnsi" w:eastAsiaTheme="minorEastAsia" w:cstheme="minorBidi"/>
      <w:b/>
      <w:kern w:val="2"/>
      <w:sz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648</Words>
  <Characters>1093</Characters>
  <Lines>57</Lines>
  <Paragraphs>79</Paragraphs>
  <TotalTime>34</TotalTime>
  <ScaleCrop>false</ScaleCrop>
  <LinksUpToDate>false</LinksUpToDate>
  <CharactersWithSpaces>1097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2026-02-02T06:50:00Z</dcterms:created>
  <dc:creator>DingTalk</dc:creator>
  <dc:description>DingTalk Document</dc:description>
  <cp:lastModifiedBy>.</cp:lastModifiedBy>
  <dcterms:modified xsi:type="dcterms:W3CDTF">2026-03-16T07:27:26Z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eyJoZGlkIjoiZTVlNzE0ZjdhMzdjMjljMWRiYTlmZDg3ZjRjZDc2ZWIiLCJ1c2VySWQiOiI3MjUzNjk0NzgifQ==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B404769531FD4A01A2D5455CF74790A5_13</vt:lpwstr>
  </property>
</Properties>
</file>