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24689">
      <w:pPr>
        <w:tabs>
          <w:tab w:val="left" w:pos="4326"/>
        </w:tabs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会议纪要</w:t>
      </w:r>
    </w:p>
    <w:tbl>
      <w:tblPr>
        <w:tblStyle w:val="11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449"/>
        <w:gridCol w:w="2693"/>
        <w:gridCol w:w="279"/>
        <w:gridCol w:w="1559"/>
        <w:gridCol w:w="3124"/>
      </w:tblGrid>
      <w:tr w14:paraId="1A9E0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923" w:type="dxa"/>
            <w:gridSpan w:val="6"/>
          </w:tcPr>
          <w:p w14:paraId="38E180C6">
            <w:pPr>
              <w:tabs>
                <w:tab w:val="left" w:pos="4326"/>
              </w:tabs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/>
              </w:rPr>
              <w:t>项目名称（或工作内容）：</w:t>
            </w:r>
            <w:r>
              <w:rPr>
                <w:rFonts w:hint="eastAsia"/>
                <w:lang w:val="en-US" w:eastAsia="zh-CN"/>
              </w:rPr>
              <w:t>高普智慧工厂项目</w:t>
            </w:r>
          </w:p>
        </w:tc>
      </w:tr>
      <w:tr w14:paraId="4E7F1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923" w:type="dxa"/>
            <w:gridSpan w:val="6"/>
          </w:tcPr>
          <w:p w14:paraId="2108436A">
            <w:pPr>
              <w:tabs>
                <w:tab w:val="left" w:pos="4326"/>
              </w:tabs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客户（或与会单位）名称：</w:t>
            </w:r>
            <w:r>
              <w:rPr>
                <w:rFonts w:hint="eastAsia"/>
                <w:lang w:val="en-US" w:eastAsia="zh-CN"/>
              </w:rPr>
              <w:t>高普</w:t>
            </w:r>
          </w:p>
        </w:tc>
      </w:tr>
      <w:tr w14:paraId="5118B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923" w:type="dxa"/>
            <w:gridSpan w:val="6"/>
          </w:tcPr>
          <w:p w14:paraId="49738236">
            <w:pPr>
              <w:tabs>
                <w:tab w:val="left" w:pos="4326"/>
              </w:tabs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会议组织(人或单位)：</w:t>
            </w:r>
            <w:r>
              <w:rPr>
                <w:rFonts w:hint="eastAsia"/>
                <w:lang w:val="en-US" w:eastAsia="zh-CN"/>
              </w:rPr>
              <w:t>陈永明</w:t>
            </w:r>
          </w:p>
        </w:tc>
      </w:tr>
      <w:tr w14:paraId="24CAC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923" w:type="dxa"/>
            <w:gridSpan w:val="6"/>
          </w:tcPr>
          <w:p w14:paraId="1B6F6E1A">
            <w:pPr>
              <w:tabs>
                <w:tab w:val="left" w:pos="4326"/>
              </w:tabs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会议地点：</w:t>
            </w:r>
            <w:r>
              <w:rPr>
                <w:rFonts w:hint="eastAsia"/>
                <w:lang w:val="en-US" w:eastAsia="zh-CN"/>
              </w:rPr>
              <w:t>线上</w:t>
            </w:r>
          </w:p>
        </w:tc>
      </w:tr>
      <w:tr w14:paraId="57554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4961" w:type="dxa"/>
            <w:gridSpan w:val="3"/>
          </w:tcPr>
          <w:p w14:paraId="227AD26B">
            <w:pPr>
              <w:tabs>
                <w:tab w:val="left" w:pos="4326"/>
              </w:tabs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会议时间:</w:t>
            </w:r>
            <w:r>
              <w:rPr>
                <w:rFonts w:hint="eastAsia"/>
                <w:lang w:val="en-US" w:eastAsia="zh-CN"/>
              </w:rPr>
              <w:t>25.12.23</w:t>
            </w:r>
          </w:p>
        </w:tc>
        <w:tc>
          <w:tcPr>
            <w:tcW w:w="4962" w:type="dxa"/>
            <w:gridSpan w:val="3"/>
          </w:tcPr>
          <w:p w14:paraId="784DEB6F">
            <w:pPr>
              <w:tabs>
                <w:tab w:val="left" w:pos="4326"/>
              </w:tabs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业务负责人：</w:t>
            </w:r>
            <w:r>
              <w:rPr>
                <w:rFonts w:hint="eastAsia"/>
                <w:lang w:val="en-US" w:eastAsia="zh-CN"/>
              </w:rPr>
              <w:t>柳琪</w:t>
            </w:r>
          </w:p>
        </w:tc>
      </w:tr>
      <w:tr w14:paraId="70436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4961" w:type="dxa"/>
            <w:gridSpan w:val="3"/>
          </w:tcPr>
          <w:p w14:paraId="1442856E">
            <w:pPr>
              <w:tabs>
                <w:tab w:val="left" w:pos="4326"/>
              </w:tabs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客户（或与会）对接人:</w:t>
            </w:r>
            <w:r>
              <w:rPr>
                <w:rFonts w:hint="eastAsia"/>
                <w:lang w:val="en-US" w:eastAsia="zh-CN"/>
              </w:rPr>
              <w:t>陈永明</w:t>
            </w:r>
          </w:p>
        </w:tc>
        <w:tc>
          <w:tcPr>
            <w:tcW w:w="4962" w:type="dxa"/>
            <w:gridSpan w:val="3"/>
          </w:tcPr>
          <w:p w14:paraId="6C835114">
            <w:pPr>
              <w:tabs>
                <w:tab w:val="left" w:pos="4326"/>
              </w:tabs>
            </w:pPr>
            <w:r>
              <w:rPr>
                <w:rFonts w:hint="eastAsia"/>
              </w:rPr>
              <w:t>对接人邮箱：</w:t>
            </w:r>
          </w:p>
        </w:tc>
      </w:tr>
      <w:tr w14:paraId="2F6C2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819" w:type="dxa"/>
            <w:vMerge w:val="restart"/>
            <w:textDirection w:val="tbRlV"/>
          </w:tcPr>
          <w:p w14:paraId="75CD3E21">
            <w:pPr>
              <w:tabs>
                <w:tab w:val="left" w:pos="4326"/>
              </w:tabs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参会人员（可付表格）</w:t>
            </w:r>
          </w:p>
        </w:tc>
        <w:tc>
          <w:tcPr>
            <w:tcW w:w="1449" w:type="dxa"/>
          </w:tcPr>
          <w:p w14:paraId="63EBA5B2">
            <w:pPr>
              <w:tabs>
                <w:tab w:val="left" w:pos="4326"/>
              </w:tabs>
              <w:rPr>
                <w:szCs w:val="24"/>
              </w:rPr>
            </w:pPr>
            <w:r>
              <w:rPr>
                <w:rFonts w:hint="eastAsia"/>
                <w:szCs w:val="24"/>
              </w:rPr>
              <w:t>姓名</w:t>
            </w:r>
            <w:r>
              <w:rPr>
                <w:rFonts w:hint="eastAsia"/>
                <w:sz w:val="22"/>
                <w:szCs w:val="24"/>
              </w:rPr>
              <w:t>（签章）</w:t>
            </w:r>
          </w:p>
        </w:tc>
        <w:tc>
          <w:tcPr>
            <w:tcW w:w="2972" w:type="dxa"/>
            <w:gridSpan w:val="2"/>
          </w:tcPr>
          <w:p w14:paraId="7C512B51">
            <w:pPr>
              <w:tabs>
                <w:tab w:val="left" w:pos="4326"/>
              </w:tabs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  务</w:t>
            </w:r>
          </w:p>
        </w:tc>
        <w:tc>
          <w:tcPr>
            <w:tcW w:w="1559" w:type="dxa"/>
          </w:tcPr>
          <w:p w14:paraId="2B7C5049">
            <w:pPr>
              <w:tabs>
                <w:tab w:val="left" w:pos="4326"/>
              </w:tabs>
              <w:rPr>
                <w:szCs w:val="24"/>
              </w:rPr>
            </w:pPr>
            <w:r>
              <w:rPr>
                <w:rFonts w:hint="eastAsia"/>
                <w:szCs w:val="24"/>
              </w:rPr>
              <w:t>姓名</w:t>
            </w:r>
            <w:r>
              <w:rPr>
                <w:rFonts w:hint="eastAsia"/>
                <w:sz w:val="22"/>
                <w:szCs w:val="24"/>
              </w:rPr>
              <w:t>（签章）</w:t>
            </w:r>
          </w:p>
        </w:tc>
        <w:tc>
          <w:tcPr>
            <w:tcW w:w="3124" w:type="dxa"/>
          </w:tcPr>
          <w:p w14:paraId="7F8211BF">
            <w:pPr>
              <w:tabs>
                <w:tab w:val="left" w:pos="4326"/>
              </w:tabs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  务</w:t>
            </w:r>
          </w:p>
        </w:tc>
      </w:tr>
      <w:tr w14:paraId="7BA4A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819" w:type="dxa"/>
            <w:vMerge w:val="continue"/>
            <w:textDirection w:val="tbRlV"/>
          </w:tcPr>
          <w:p w14:paraId="162351C9">
            <w:pPr>
              <w:tabs>
                <w:tab w:val="left" w:pos="4326"/>
              </w:tabs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</w:tcPr>
          <w:p w14:paraId="7486847D">
            <w:pPr>
              <w:tabs>
                <w:tab w:val="left" w:pos="4326"/>
              </w:tabs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陈永明</w:t>
            </w:r>
          </w:p>
        </w:tc>
        <w:tc>
          <w:tcPr>
            <w:tcW w:w="2972" w:type="dxa"/>
            <w:gridSpan w:val="2"/>
          </w:tcPr>
          <w:p w14:paraId="48A473CE">
            <w:pPr>
              <w:tabs>
                <w:tab w:val="left" w:pos="4326"/>
              </w:tabs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副总经理</w:t>
            </w:r>
          </w:p>
        </w:tc>
        <w:tc>
          <w:tcPr>
            <w:tcW w:w="1559" w:type="dxa"/>
            <w:shd w:val="clear" w:color="auto" w:fill="auto"/>
            <w:vAlign w:val="top"/>
          </w:tcPr>
          <w:p w14:paraId="598FD124">
            <w:pPr>
              <w:tabs>
                <w:tab w:val="left" w:pos="4326"/>
              </w:tabs>
              <w:jc w:val="center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李春波</w:t>
            </w:r>
          </w:p>
        </w:tc>
        <w:tc>
          <w:tcPr>
            <w:tcW w:w="3124" w:type="dxa"/>
            <w:shd w:val="clear" w:color="auto" w:fill="auto"/>
            <w:vAlign w:val="top"/>
          </w:tcPr>
          <w:p w14:paraId="60D6338A">
            <w:pPr>
              <w:tabs>
                <w:tab w:val="left" w:pos="4326"/>
              </w:tabs>
              <w:jc w:val="center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项目经理</w:t>
            </w:r>
          </w:p>
        </w:tc>
      </w:tr>
      <w:tr w14:paraId="52C00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819" w:type="dxa"/>
            <w:vMerge w:val="continue"/>
            <w:textDirection w:val="tbRlV"/>
          </w:tcPr>
          <w:p w14:paraId="11193E81">
            <w:pPr>
              <w:tabs>
                <w:tab w:val="left" w:pos="4326"/>
              </w:tabs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</w:tcPr>
          <w:p w14:paraId="465CD0FB">
            <w:pPr>
              <w:tabs>
                <w:tab w:val="left" w:pos="4326"/>
              </w:tabs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罗建军</w:t>
            </w:r>
          </w:p>
        </w:tc>
        <w:tc>
          <w:tcPr>
            <w:tcW w:w="2972" w:type="dxa"/>
            <w:gridSpan w:val="2"/>
          </w:tcPr>
          <w:p w14:paraId="3AD0218C">
            <w:pPr>
              <w:tabs>
                <w:tab w:val="left" w:pos="4326"/>
              </w:tabs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秒优总经理</w:t>
            </w:r>
          </w:p>
        </w:tc>
        <w:tc>
          <w:tcPr>
            <w:tcW w:w="1559" w:type="dxa"/>
          </w:tcPr>
          <w:p w14:paraId="2587DE65">
            <w:pPr>
              <w:tabs>
                <w:tab w:val="left" w:pos="4326"/>
              </w:tabs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邓俊杰</w:t>
            </w:r>
          </w:p>
        </w:tc>
        <w:tc>
          <w:tcPr>
            <w:tcW w:w="3124" w:type="dxa"/>
          </w:tcPr>
          <w:p w14:paraId="78CC0840">
            <w:pPr>
              <w:tabs>
                <w:tab w:val="left" w:pos="4326"/>
              </w:tabs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软件工程师</w:t>
            </w:r>
          </w:p>
        </w:tc>
      </w:tr>
      <w:tr w14:paraId="4DC4E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819" w:type="dxa"/>
            <w:vMerge w:val="continue"/>
            <w:textDirection w:val="tbRlV"/>
          </w:tcPr>
          <w:p w14:paraId="69801AA5">
            <w:pPr>
              <w:tabs>
                <w:tab w:val="left" w:pos="4326"/>
              </w:tabs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</w:tcPr>
          <w:p w14:paraId="736B7E8C">
            <w:pPr>
              <w:tabs>
                <w:tab w:val="left" w:pos="4326"/>
              </w:tabs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李月</w:t>
            </w:r>
          </w:p>
        </w:tc>
        <w:tc>
          <w:tcPr>
            <w:tcW w:w="2972" w:type="dxa"/>
            <w:gridSpan w:val="2"/>
          </w:tcPr>
          <w:p w14:paraId="03BF7D2F">
            <w:pPr>
              <w:tabs>
                <w:tab w:val="left" w:pos="432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C361F6B">
            <w:pPr>
              <w:tabs>
                <w:tab w:val="left" w:pos="4326"/>
              </w:tabs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124" w:type="dxa"/>
          </w:tcPr>
          <w:p w14:paraId="6082F4AC">
            <w:pPr>
              <w:tabs>
                <w:tab w:val="left" w:pos="4326"/>
              </w:tabs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1E809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819" w:type="dxa"/>
            <w:vMerge w:val="continue"/>
            <w:textDirection w:val="tbRlV"/>
          </w:tcPr>
          <w:p w14:paraId="6594C084">
            <w:pPr>
              <w:tabs>
                <w:tab w:val="left" w:pos="4326"/>
              </w:tabs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</w:tcPr>
          <w:p w14:paraId="186BD1BC">
            <w:pPr>
              <w:tabs>
                <w:tab w:val="left" w:pos="4326"/>
              </w:tabs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徐贤棒</w:t>
            </w:r>
          </w:p>
        </w:tc>
        <w:tc>
          <w:tcPr>
            <w:tcW w:w="2972" w:type="dxa"/>
            <w:gridSpan w:val="2"/>
          </w:tcPr>
          <w:p w14:paraId="5FB85DF6">
            <w:pPr>
              <w:tabs>
                <w:tab w:val="left" w:pos="432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4E18773">
            <w:pPr>
              <w:tabs>
                <w:tab w:val="left" w:pos="4326"/>
              </w:tabs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124" w:type="dxa"/>
          </w:tcPr>
          <w:p w14:paraId="6BCEA111">
            <w:pPr>
              <w:tabs>
                <w:tab w:val="left" w:pos="4326"/>
              </w:tabs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53A9F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819" w:type="dxa"/>
            <w:vMerge w:val="continue"/>
            <w:textDirection w:val="tbRlV"/>
          </w:tcPr>
          <w:p w14:paraId="423BE994">
            <w:pPr>
              <w:tabs>
                <w:tab w:val="left" w:pos="4326"/>
              </w:tabs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</w:tcPr>
          <w:p w14:paraId="61C1FFA3">
            <w:pPr>
              <w:tabs>
                <w:tab w:val="left" w:pos="432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972" w:type="dxa"/>
            <w:gridSpan w:val="2"/>
          </w:tcPr>
          <w:p w14:paraId="745C9149">
            <w:pPr>
              <w:tabs>
                <w:tab w:val="left" w:pos="432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19F4F01">
            <w:pPr>
              <w:tabs>
                <w:tab w:val="left" w:pos="432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124" w:type="dxa"/>
          </w:tcPr>
          <w:p w14:paraId="3CA594A0">
            <w:pPr>
              <w:tabs>
                <w:tab w:val="left" w:pos="4326"/>
              </w:tabs>
              <w:jc w:val="center"/>
              <w:rPr>
                <w:sz w:val="24"/>
                <w:szCs w:val="24"/>
              </w:rPr>
            </w:pPr>
          </w:p>
        </w:tc>
      </w:tr>
      <w:tr w14:paraId="08CD2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923" w:type="dxa"/>
            <w:gridSpan w:val="6"/>
          </w:tcPr>
          <w:p w14:paraId="22C8E04D">
            <w:pPr>
              <w:tabs>
                <w:tab w:val="left" w:pos="4326"/>
              </w:tabs>
              <w:rPr>
                <w:rFonts w:hint="eastAsia"/>
              </w:rPr>
            </w:pPr>
            <w:r>
              <w:rPr>
                <w:rFonts w:hint="eastAsia"/>
              </w:rPr>
              <w:t>会议主要议题：</w:t>
            </w:r>
          </w:p>
          <w:p w14:paraId="69B30A47">
            <w:pPr>
              <w:tabs>
                <w:tab w:val="left" w:pos="4326"/>
              </w:tabs>
              <w:ind w:firstLine="56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关于高普智慧工厂业务流程及通讯接口的确认</w:t>
            </w:r>
          </w:p>
          <w:p w14:paraId="0EBA7822">
            <w:pPr>
              <w:tabs>
                <w:tab w:val="left" w:pos="4326"/>
              </w:tabs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会议内容纪要：</w:t>
            </w:r>
          </w:p>
          <w:p w14:paraId="1339CB4F">
            <w:pPr>
              <w:widowControl w:val="0"/>
              <w:numPr>
                <w:ilvl w:val="0"/>
                <w:numId w:val="1"/>
              </w:numPr>
              <w:tabs>
                <w:tab w:val="left" w:pos="4326"/>
              </w:tabs>
              <w:ind w:left="425" w:leftChars="0" w:hanging="425" w:firstLine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接口开发与对接</w:t>
            </w:r>
          </w:p>
          <w:p w14:paraId="01BBF7FD">
            <w:pPr>
              <w:widowControl w:val="0"/>
              <w:numPr>
                <w:ilvl w:val="0"/>
                <w:numId w:val="2"/>
              </w:numPr>
              <w:tabs>
                <w:tab w:val="left" w:pos="4326"/>
              </w:tabs>
              <w:ind w:left="0" w:leftChars="0" w:firstLine="56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接口文档：依据高普陈总发出的《高普接口清单》文档，被调方需提供接口文档，双方需确认接口定义无缺失。WMS、WCS、ERP三方均需提供接口，接口文档将在群内共享。</w:t>
            </w:r>
          </w:p>
          <w:p w14:paraId="20304B23">
            <w:pPr>
              <w:widowControl w:val="0"/>
              <w:numPr>
                <w:ilvl w:val="0"/>
                <w:numId w:val="2"/>
              </w:numPr>
              <w:tabs>
                <w:tab w:val="left" w:pos="4326"/>
              </w:tabs>
              <w:ind w:left="0" w:leftChars="0" w:firstLine="56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接口调用规范：所有接口调用需有状态码反馈和日志记录，确保消息可靠传输，未收到确认时需重发并报警。</w:t>
            </w:r>
          </w:p>
          <w:p w14:paraId="3CB7E128">
            <w:pPr>
              <w:widowControl w:val="0"/>
              <w:numPr>
                <w:ilvl w:val="0"/>
                <w:numId w:val="1"/>
              </w:numPr>
              <w:tabs>
                <w:tab w:val="left" w:pos="4326"/>
              </w:tabs>
              <w:ind w:left="425" w:leftChars="0" w:hanging="425" w:firstLine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成品入库点位管理</w:t>
            </w:r>
          </w:p>
          <w:p w14:paraId="7B1F5FEE">
            <w:pPr>
              <w:widowControl w:val="0"/>
              <w:numPr>
                <w:ilvl w:val="0"/>
                <w:numId w:val="3"/>
              </w:numPr>
              <w:tabs>
                <w:tab w:val="left" w:pos="4326"/>
              </w:tabs>
              <w:ind w:left="0" w:leftChars="0" w:firstLine="56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AGV入库口管理：一楼成品仓设4个AGV入库口，WCS需提供查询接口供WMS检查占用状态。任务下发后入库口标记为占用，人工可切换为禁用状态。</w:t>
            </w:r>
          </w:p>
          <w:p w14:paraId="6AA1367B">
            <w:pPr>
              <w:widowControl w:val="0"/>
              <w:numPr>
                <w:ilvl w:val="0"/>
                <w:numId w:val="3"/>
              </w:numPr>
              <w:tabs>
                <w:tab w:val="left" w:pos="4326"/>
              </w:tabs>
              <w:ind w:left="0" w:leftChars="0" w:firstLine="56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外形检测失败：WCS需返回具体失败原因（如超宽、超长），WMS展示给操作人员（非常规异常可以显示不明确）。</w:t>
            </w:r>
          </w:p>
          <w:p w14:paraId="5C368B88">
            <w:pPr>
              <w:widowControl w:val="0"/>
              <w:numPr>
                <w:ilvl w:val="0"/>
                <w:numId w:val="3"/>
              </w:numPr>
              <w:tabs>
                <w:tab w:val="left" w:pos="4326"/>
              </w:tabs>
              <w:ind w:left="150" w:leftChars="0" w:firstLine="400" w:firstLineChars="0"/>
              <w:jc w:val="both"/>
              <w:rPr>
                <w:rFonts w:hint="eastAsia"/>
                <w:color w:val="auto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lang w:val="en-US" w:eastAsia="zh-CN"/>
              </w:rPr>
              <w:t>人工口管理：</w:t>
            </w:r>
            <w:r>
              <w:rPr>
                <w:rFonts w:hint="eastAsia"/>
                <w:color w:val="auto"/>
                <w:highlight w:val="yellow"/>
                <w:lang w:val="en-US" w:eastAsia="zh-CN"/>
              </w:rPr>
              <w:t>WCS提供查询接口供WMS检查占用状态，为了提高库房出入库效率，当四向车将货物送到人工口后，工人需尽快拣选或取走货物并及时通过WMS告诉WCS（料箱取出/回库：WMS下发入库任务）。</w:t>
            </w:r>
          </w:p>
          <w:p w14:paraId="48CBD3BA">
            <w:pPr>
              <w:widowControl w:val="0"/>
              <w:numPr>
                <w:ilvl w:val="0"/>
                <w:numId w:val="1"/>
              </w:numPr>
              <w:tabs>
                <w:tab w:val="left" w:pos="4326"/>
              </w:tabs>
              <w:ind w:left="425" w:leftChars="0" w:hanging="425" w:firstLine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点对点任务：</w:t>
            </w:r>
          </w:p>
          <w:p w14:paraId="7D0C5473">
            <w:pPr>
              <w:widowControl w:val="0"/>
              <w:numPr>
                <w:ilvl w:val="0"/>
                <w:numId w:val="0"/>
              </w:numPr>
              <w:tabs>
                <w:tab w:val="left" w:pos="4326"/>
              </w:tabs>
              <w:ind w:leftChars="0" w:firstLine="56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跨楼层运输为点对点任务，WMS需指定具体目标点位（如接驳位编号），WCS执行运输并反馈状态</w:t>
            </w:r>
            <w:r>
              <w:rPr>
                <w:rFonts w:hint="eastAsia"/>
                <w:highlight w:val="yellow"/>
                <w:lang w:val="en-US" w:eastAsia="zh-CN"/>
              </w:rPr>
              <w:t>（点位图及编号由WCS提供）</w:t>
            </w:r>
            <w:r>
              <w:rPr>
                <w:rFonts w:hint="eastAsia"/>
                <w:lang w:val="en-US" w:eastAsia="zh-CN"/>
              </w:rPr>
              <w:t>。</w:t>
            </w:r>
          </w:p>
          <w:p w14:paraId="308C0450">
            <w:pPr>
              <w:widowControl w:val="0"/>
              <w:numPr>
                <w:ilvl w:val="0"/>
                <w:numId w:val="0"/>
              </w:numPr>
              <w:tabs>
                <w:tab w:val="left" w:pos="4326"/>
              </w:tabs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 空料箱管理</w:t>
            </w:r>
          </w:p>
          <w:p w14:paraId="6EE4EAEA">
            <w:pPr>
              <w:widowControl w:val="0"/>
              <w:numPr>
                <w:ilvl w:val="0"/>
                <w:numId w:val="0"/>
              </w:numPr>
              <w:tabs>
                <w:tab w:val="left" w:pos="4326"/>
              </w:tabs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补箱逻辑：</w:t>
            </w:r>
          </w:p>
          <w:p w14:paraId="5BD5D1DB">
            <w:pPr>
              <w:widowControl w:val="0"/>
              <w:numPr>
                <w:ilvl w:val="0"/>
                <w:numId w:val="0"/>
              </w:numPr>
              <w:tabs>
                <w:tab w:val="left" w:pos="4326"/>
              </w:tabs>
              <w:ind w:firstLine="560" w:firstLineChars="200"/>
              <w:jc w:val="both"/>
              <w:rPr>
                <w:rFonts w:hint="eastAsia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lang w:val="en-US" w:eastAsia="zh-CN"/>
              </w:rPr>
              <w:t>WMS定时查询WCS输送线空位数量，然后按照空位数量下发空托盘配送任务。</w:t>
            </w:r>
          </w:p>
          <w:p w14:paraId="59A9BBA8">
            <w:pPr>
              <w:widowControl w:val="0"/>
              <w:numPr>
                <w:ilvl w:val="0"/>
                <w:numId w:val="0"/>
              </w:numPr>
              <w:tabs>
                <w:tab w:val="left" w:pos="4326"/>
              </w:tabs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 输送线上楼接驳点扫码异常处理</w:t>
            </w:r>
          </w:p>
          <w:p w14:paraId="51665180">
            <w:pPr>
              <w:widowControl w:val="0"/>
              <w:numPr>
                <w:ilvl w:val="0"/>
                <w:numId w:val="0"/>
              </w:numPr>
              <w:tabs>
                <w:tab w:val="left" w:pos="4326"/>
              </w:tabs>
              <w:ind w:firstLine="560" w:firstLineChars="200"/>
              <w:jc w:val="both"/>
              <w:rPr>
                <w:rFonts w:hint="eastAsia"/>
                <w:highlight w:val="yellow"/>
                <w:lang w:val="en-US" w:eastAsia="zh-CN"/>
              </w:rPr>
            </w:pPr>
            <w:r>
              <w:rPr>
                <w:rFonts w:hint="eastAsia"/>
                <w:highlight w:val="yellow"/>
                <w:lang w:val="en-US" w:eastAsia="zh-CN"/>
              </w:rPr>
              <w:t>AGV配送料箱至接驳口后，先进行扫码，扫码结果由WMS判断，反馈正确信息后，AGV放下料箱，输送设备送至4楼，若扫码信息异常，有WMS下发错误信号及异常处理点位的信息，修改AGV路线至异常点位，并由WMS发出报警信息。</w:t>
            </w:r>
          </w:p>
          <w:p w14:paraId="49F3D3A8">
            <w:pPr>
              <w:widowControl w:val="0"/>
              <w:numPr>
                <w:ilvl w:val="0"/>
                <w:numId w:val="0"/>
              </w:numPr>
              <w:tabs>
                <w:tab w:val="left" w:pos="4326"/>
              </w:tabs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 其他事项</w:t>
            </w:r>
          </w:p>
          <w:p w14:paraId="2E99372D">
            <w:pPr>
              <w:widowControl w:val="0"/>
              <w:numPr>
                <w:ilvl w:val="0"/>
                <w:numId w:val="4"/>
              </w:numPr>
              <w:tabs>
                <w:tab w:val="left" w:pos="4326"/>
              </w:tabs>
              <w:ind w:left="0" w:leftChars="0" w:firstLine="56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若新增点位需人工实施并更新地图，项目实施阶段实施方可配合进行少量（十点以内）调整，培训后由甲方维护人员自行调整。</w:t>
            </w:r>
          </w:p>
          <w:p w14:paraId="24E74C2D">
            <w:pPr>
              <w:widowControl w:val="0"/>
              <w:numPr>
                <w:ilvl w:val="0"/>
                <w:numId w:val="4"/>
              </w:numPr>
              <w:tabs>
                <w:tab w:val="left" w:pos="4326"/>
              </w:tabs>
              <w:ind w:left="0" w:leftChars="0" w:firstLine="56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开发进度：</w:t>
            </w:r>
          </w:p>
          <w:p w14:paraId="19C0332A">
            <w:pPr>
              <w:widowControl w:val="0"/>
              <w:numPr>
                <w:ilvl w:val="0"/>
                <w:numId w:val="5"/>
              </w:numPr>
              <w:tabs>
                <w:tab w:val="left" w:pos="4326"/>
              </w:tabs>
              <w:ind w:left="1245" w:leftChars="0" w:hanging="420" w:firstLine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WMS接口初稿预计12月26日（周五）完成。</w:t>
            </w:r>
          </w:p>
          <w:p w14:paraId="3D90BD4D">
            <w:pPr>
              <w:widowControl w:val="0"/>
              <w:numPr>
                <w:ilvl w:val="0"/>
                <w:numId w:val="5"/>
              </w:numPr>
              <w:tabs>
                <w:tab w:val="left" w:pos="4326"/>
              </w:tabs>
              <w:ind w:left="1245" w:leftChars="0" w:hanging="420" w:firstLine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WCS接口初稿预计12月26日（周五）完成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。</w:t>
            </w:r>
          </w:p>
          <w:p w14:paraId="3D1D8015">
            <w:pPr>
              <w:widowControl w:val="0"/>
              <w:numPr>
                <w:ilvl w:val="0"/>
                <w:numId w:val="5"/>
              </w:numPr>
              <w:tabs>
                <w:tab w:val="left" w:pos="4326"/>
              </w:tabs>
              <w:ind w:left="1245" w:leftChars="0" w:hanging="420" w:firstLine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原型设计月底前确认，避免与现场不符。</w:t>
            </w:r>
          </w:p>
          <w:p w14:paraId="657771BD">
            <w:pPr>
              <w:widowControl w:val="0"/>
              <w:numPr>
                <w:ilvl w:val="0"/>
                <w:numId w:val="4"/>
              </w:numPr>
              <w:tabs>
                <w:tab w:val="left" w:pos="4326"/>
              </w:tabs>
              <w:ind w:left="0" w:leftChars="0" w:firstLine="56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安全避障：Q3车型通过激光检测料车支腿避障，但托盘和Q1P车型无法检测。</w:t>
            </w:r>
          </w:p>
          <w:p w14:paraId="47D061F9">
            <w:pPr>
              <w:widowControl w:val="0"/>
              <w:numPr>
                <w:ilvl w:val="0"/>
                <w:numId w:val="4"/>
              </w:numPr>
              <w:tabs>
                <w:tab w:val="left" w:pos="4326"/>
              </w:tabs>
              <w:ind w:left="0" w:leftChars="0" w:firstLine="56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更新项目进度表，体现网络及电梯等完工最晚时间</w:t>
            </w:r>
          </w:p>
          <w:p w14:paraId="0862BB90">
            <w:pPr>
              <w:widowControl w:val="0"/>
              <w:numPr>
                <w:ilvl w:val="0"/>
                <w:numId w:val="4"/>
              </w:numPr>
              <w:tabs>
                <w:tab w:val="left" w:pos="4326"/>
              </w:tabs>
              <w:ind w:left="0" w:leftChars="0" w:firstLine="56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甲方25号对2楼进货窗口进行拆除，26号可以货物进场。</w:t>
            </w:r>
          </w:p>
          <w:p w14:paraId="5B1B24A7">
            <w:pPr>
              <w:tabs>
                <w:tab w:val="left" w:pos="4326"/>
              </w:tabs>
              <w:rPr>
                <w:szCs w:val="21"/>
              </w:rPr>
            </w:pPr>
          </w:p>
        </w:tc>
      </w:tr>
      <w:tr w14:paraId="00BB6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4961" w:type="dxa"/>
            <w:gridSpan w:val="3"/>
          </w:tcPr>
          <w:p w14:paraId="3B894D01">
            <w:pPr>
              <w:tabs>
                <w:tab w:val="left" w:pos="4326"/>
              </w:tabs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填写人（签章）</w:t>
            </w:r>
            <w:r>
              <w:rPr>
                <w:rFonts w:hint="eastAsia"/>
                <w:b/>
                <w:sz w:val="24"/>
                <w:szCs w:val="24"/>
              </w:rPr>
              <w:t>：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李春波</w:t>
            </w:r>
          </w:p>
        </w:tc>
        <w:tc>
          <w:tcPr>
            <w:tcW w:w="4962" w:type="dxa"/>
            <w:gridSpan w:val="3"/>
          </w:tcPr>
          <w:p w14:paraId="4D1DA56F">
            <w:pPr>
              <w:tabs>
                <w:tab w:val="left" w:pos="4326"/>
              </w:tabs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>2025.12.24</w:t>
            </w:r>
          </w:p>
        </w:tc>
      </w:tr>
    </w:tbl>
    <w:p w14:paraId="69971333"/>
    <w:sectPr>
      <w:headerReference r:id="rId3" w:type="default"/>
      <w:footerReference r:id="rId4" w:type="default"/>
      <w:pgSz w:w="11906" w:h="16838"/>
      <w:pgMar w:top="1440" w:right="1077" w:bottom="1440" w:left="1077" w:header="851" w:footer="992" w:gutter="0"/>
      <w:cols w:space="425" w:num="1"/>
      <w:docGrid w:type="lines" w:linePitch="498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9F9646">
    <w:pPr>
      <w:spacing w:before="120" w:beforeLines="50" w:after="120" w:afterLines="50"/>
      <w:jc w:val="left"/>
      <w:rPr>
        <w:rFonts w:ascii="黑体" w:hAnsi="黑体" w:eastAsia="黑体"/>
        <w:sz w:val="20"/>
      </w:rPr>
    </w:pPr>
    <w:r>
      <w:rPr>
        <w:rFonts w:hint="eastAsia" w:ascii="黑体" w:hAnsi="黑体" w:eastAsia="黑体"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-25400</wp:posOffset>
              </wp:positionV>
              <wp:extent cx="6182360" cy="0"/>
              <wp:effectExtent l="0" t="0" r="27940" b="1905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8236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top:-2pt;height:0pt;width:486.8pt;mso-position-horizontal:left;mso-position-horizontal-relative:margin;z-index:251659264;mso-width-relative:page;mso-height-relative:page;" filled="f" stroked="t" coordsize="21600,21600" o:gfxdata="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hbGq41AAAAAYBAAAPAAAA&#10;AAAAAAEAIAAAACIAAABkcnMvZG93bnJldi54bWxQSwECFAAUAAAACACHTuJALyMJ5eABAACxAwAA&#10;DgAAAAAAAAABACAAAAAjAQAAZHJzL2Uyb0RvYy54bWxQSwUGAAAAAAYABgBZAQAAdQUAAAAA&#10;">
              <v:fill on="f" focussize="0,0"/>
              <v:stroke weight="0.5pt" color="#000000 [3200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黑体" w:hAnsi="黑体" w:eastAsia="黑体"/>
        <w:sz w:val="20"/>
      </w:rPr>
      <w:t>地址：辽宁省沈阳市浑南区文德西街</w:t>
    </w:r>
    <w:r>
      <w:rPr>
        <w:rFonts w:ascii="黑体" w:hAnsi="黑体" w:eastAsia="黑体"/>
        <w:sz w:val="20"/>
      </w:rPr>
      <w:t>8号爱信特产业园</w:t>
    </w:r>
    <w:r>
      <w:rPr>
        <w:rFonts w:hint="eastAsia" w:ascii="黑体" w:hAnsi="黑体" w:eastAsia="黑体"/>
        <w:sz w:val="20"/>
      </w:rPr>
      <w:t xml:space="preserve">          </w:t>
    </w:r>
    <w:r>
      <w:rPr>
        <w:rFonts w:ascii="黑体" w:hAnsi="黑体" w:eastAsia="黑体"/>
        <w:sz w:val="20"/>
      </w:rPr>
      <w:t xml:space="preserve"> </w:t>
    </w:r>
    <w:r>
      <w:fldChar w:fldCharType="begin"/>
    </w:r>
    <w:r>
      <w:instrText xml:space="preserve"> HYPERLINK "http://www.hitrobotgroup.com/" </w:instrText>
    </w:r>
    <w:r>
      <w:fldChar w:fldCharType="separate"/>
    </w:r>
    <w:r>
      <w:rPr>
        <w:rStyle w:val="14"/>
        <w:rFonts w:hint="eastAsia" w:ascii="黑体" w:hAnsi="黑体" w:eastAsia="黑体"/>
        <w:sz w:val="21"/>
        <w:szCs w:val="20"/>
        <w:u w:val="none"/>
      </w:rPr>
      <w:t>http://</w:t>
    </w:r>
    <w:r>
      <w:rPr>
        <w:rStyle w:val="14"/>
        <w:rFonts w:hint="eastAsia" w:ascii="黑体" w:hAnsi="黑体" w:eastAsia="黑体"/>
        <w:sz w:val="21"/>
        <w:szCs w:val="20"/>
        <w:u w:val="none"/>
      </w:rPr>
      <w:fldChar w:fldCharType="end"/>
    </w:r>
    <w:r>
      <w:rPr>
        <w:rFonts w:ascii="黑体" w:hAnsi="黑体" w:eastAsia="黑体"/>
        <w:color w:val="0563C1" w:themeColor="hyperlink"/>
        <w:sz w:val="21"/>
        <w:szCs w:val="20"/>
        <w14:textFill>
          <w14:solidFill>
            <w14:schemeClr w14:val="hlink"/>
          </w14:solidFill>
        </w14:textFill>
      </w:rPr>
      <w:t>www.sunrise.com.cn</w:t>
    </w:r>
    <w:r>
      <w:rPr>
        <w:rFonts w:ascii="黑体" w:hAnsi="黑体" w:eastAsia="黑体"/>
        <w:sz w:val="20"/>
      </w:rPr>
      <w:t xml:space="preserve">        </w:t>
    </w:r>
    <w:r>
      <w:rPr>
        <w:bCs/>
        <w:sz w:val="20"/>
        <w:lang w:val="zh-CN"/>
      </w:rPr>
      <w:t xml:space="preserve"> </w:t>
    </w:r>
    <w:r>
      <w:rPr>
        <w:bCs/>
        <w:sz w:val="20"/>
      </w:rPr>
      <w:fldChar w:fldCharType="begin"/>
    </w:r>
    <w:r>
      <w:rPr>
        <w:bCs/>
        <w:sz w:val="20"/>
      </w:rPr>
      <w:instrText xml:space="preserve">PAGE  \* Arabic  \* MERGEFORMAT</w:instrText>
    </w:r>
    <w:r>
      <w:rPr>
        <w:bCs/>
        <w:sz w:val="20"/>
      </w:rPr>
      <w:fldChar w:fldCharType="separate"/>
    </w:r>
    <w:r>
      <w:rPr>
        <w:bCs/>
        <w:sz w:val="20"/>
        <w:lang w:val="zh-CN"/>
      </w:rPr>
      <w:t>1</w:t>
    </w:r>
    <w:r>
      <w:rPr>
        <w:bCs/>
        <w:sz w:val="20"/>
      </w:rPr>
      <w:fldChar w:fldCharType="end"/>
    </w:r>
    <w:r>
      <w:rPr>
        <w:bCs/>
        <w:sz w:val="20"/>
        <w:lang w:val="zh-CN"/>
      </w:rPr>
      <w:t>/</w:t>
    </w:r>
    <w:r>
      <w:rPr>
        <w:bCs/>
        <w:sz w:val="20"/>
      </w:rPr>
      <w:fldChar w:fldCharType="begin"/>
    </w:r>
    <w:r>
      <w:rPr>
        <w:bCs/>
        <w:sz w:val="20"/>
      </w:rPr>
      <w:instrText xml:space="preserve">NUMPAGES  \* Arabic  \* MERGEFORMAT</w:instrText>
    </w:r>
    <w:r>
      <w:rPr>
        <w:bCs/>
        <w:sz w:val="20"/>
      </w:rPr>
      <w:fldChar w:fldCharType="separate"/>
    </w:r>
    <w:r>
      <w:rPr>
        <w:bCs/>
        <w:sz w:val="20"/>
        <w:lang w:val="zh-CN"/>
      </w:rPr>
      <w:t>2</w:t>
    </w:r>
    <w:r>
      <w:rPr>
        <w:bCs/>
        <w:sz w:val="20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7022B5">
    <w:pPr>
      <w:pStyle w:val="8"/>
      <w:jc w:val="both"/>
    </w:pPr>
    <w:sdt>
      <w:sdtPr>
        <w:rPr>
          <w:rFonts w:hint="eastAsia" w:ascii="黑体" w:hAnsi="黑体" w:eastAsia="黑体"/>
          <w:color w:val="1F4E79" w:themeColor="accent1" w:themeShade="80"/>
          <w:sz w:val="28"/>
        </w:rPr>
        <w:id w:val="-539124149"/>
        <w:docPartObj>
          <w:docPartGallery w:val="autotext"/>
        </w:docPartObj>
      </w:sdtPr>
      <w:sdtEndPr>
        <w:rPr>
          <w:rFonts w:hint="eastAsia" w:ascii="黑体" w:hAnsi="黑体" w:eastAsia="黑体"/>
          <w:color w:val="1F4E79" w:themeColor="accent1" w:themeShade="80"/>
          <w:sz w:val="28"/>
        </w:rPr>
      </w:sdtEndPr>
      <w:sdtContent>
        <w:r>
          <w:rPr>
            <w:rFonts w:ascii="黑体" w:hAnsi="黑体" w:eastAsia="黑体"/>
            <w:color w:val="1F4E79" w:themeColor="accent1" w:themeShade="80"/>
            <w:sz w:val="28"/>
          </w:rPr>
          <w:pict>
            <v:shape id="PowerPlusWaterMarkObject13896992" o:spid="_x0000_s4097" o:spt="136" type="#_x0000_t136" style="position:absolute;left:0pt;height:137.45pt;width:549.95pt;mso-position-horizontal:center;mso-position-horizontal-relative:margin;mso-position-vertical:center;mso-position-vertical-relative:margin;rotation:20643840f;z-index:-251656192;mso-width-relative:page;mso-height-relative:page;" fillcolor="#5B9BD5" filled="t" stroked="f" coordsize="21600,21600" o:allowincell="f">
              <v:path/>
              <v:fill on="t" opacity="32768f" focussize="0,0"/>
              <v:stroke on="f"/>
              <v:imagedata o:title=""/>
              <o:lock v:ext="edit"/>
              <v:textpath on="t" fitshape="t" fitpath="t" trim="f" xscale="f" string="瑞晟智能" style="font-family:Simsun;font-size:1pt;v-text-align:center;"/>
            </v:shape>
          </w:pict>
        </w:r>
      </w:sdtContent>
    </w:sdt>
    <w:r>
      <w:rPr>
        <w:rFonts w:ascii="黑体" w:hAnsi="黑体" w:eastAsia="黑体"/>
        <w:color w:val="1F4E79" w:themeColor="accent1" w:themeShade="80"/>
        <w:sz w:val="26"/>
        <w:szCs w:val="26"/>
      </w:rPr>
      <w:drawing>
        <wp:inline distT="0" distB="0" distL="0" distR="0">
          <wp:extent cx="2034540" cy="266700"/>
          <wp:effectExtent l="0" t="0" r="381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3454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黑体" w:hAnsi="黑体" w:eastAsia="黑体"/>
        <w:color w:val="1F4E79" w:themeColor="accent1" w:themeShade="80"/>
        <w:sz w:val="28"/>
      </w:rPr>
      <w:t xml:space="preserve">                </w:t>
    </w:r>
    <w:r>
      <w:rPr>
        <w:rFonts w:ascii="黑体" w:hAnsi="黑体" w:eastAsia="黑体"/>
        <w:color w:val="1F4E79" w:themeColor="accent1" w:themeShade="80"/>
        <w:sz w:val="28"/>
      </w:rPr>
      <w:t xml:space="preserve">      </w:t>
    </w:r>
    <w:r>
      <w:rPr>
        <w:rFonts w:hint="eastAsia" w:ascii="黑体" w:hAnsi="黑体" w:eastAsia="黑体"/>
        <w:color w:val="1F4E79" w:themeColor="accent1" w:themeShade="80"/>
        <w:sz w:val="28"/>
      </w:rPr>
      <w:t>沈阳瑞晟智能</w:t>
    </w:r>
    <w:r>
      <w:rPr>
        <w:rFonts w:ascii="黑体" w:hAnsi="黑体" w:eastAsia="黑体"/>
        <w:color w:val="1F4E79" w:themeColor="accent1" w:themeShade="80"/>
        <w:sz w:val="28"/>
      </w:rPr>
      <w:t>装备</w:t>
    </w:r>
    <w:r>
      <w:rPr>
        <w:rFonts w:hint="eastAsia" w:ascii="黑体" w:hAnsi="黑体" w:eastAsia="黑体"/>
        <w:color w:val="1F4E79" w:themeColor="accent1" w:themeShade="80"/>
        <w:sz w:val="28"/>
      </w:rPr>
      <w:t>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10B491"/>
    <w:multiLevelType w:val="singleLevel"/>
    <w:tmpl w:val="8F10B49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DE1EF35D"/>
    <w:multiLevelType w:val="singleLevel"/>
    <w:tmpl w:val="DE1EF35D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ED01D643"/>
    <w:multiLevelType w:val="singleLevel"/>
    <w:tmpl w:val="ED01D64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066B8FCE"/>
    <w:multiLevelType w:val="singleLevel"/>
    <w:tmpl w:val="066B8FC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668F4DB7"/>
    <w:multiLevelType w:val="singleLevel"/>
    <w:tmpl w:val="668F4DB7"/>
    <w:lvl w:ilvl="0" w:tentative="0">
      <w:start w:val="1"/>
      <w:numFmt w:val="bullet"/>
      <w:lvlText w:val=""/>
      <w:lvlJc w:val="left"/>
      <w:pPr>
        <w:ind w:left="1245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attachedTemplate r:id="rId1"/>
  <w:documentProtection w:enforcement="0"/>
  <w:defaultTabStop w:val="420"/>
  <w:drawingGridHorizontalSpacing w:val="138"/>
  <w:drawingGridVerticalSpacing w:val="249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0AC"/>
    <w:rsid w:val="00017009"/>
    <w:rsid w:val="00050845"/>
    <w:rsid w:val="00061632"/>
    <w:rsid w:val="0009494D"/>
    <w:rsid w:val="000A6A48"/>
    <w:rsid w:val="000D18B8"/>
    <w:rsid w:val="0012011C"/>
    <w:rsid w:val="00170E65"/>
    <w:rsid w:val="001C5A94"/>
    <w:rsid w:val="00210604"/>
    <w:rsid w:val="002373A9"/>
    <w:rsid w:val="00274846"/>
    <w:rsid w:val="00391AD9"/>
    <w:rsid w:val="003D6B7F"/>
    <w:rsid w:val="00494B6E"/>
    <w:rsid w:val="004E3094"/>
    <w:rsid w:val="004E3C30"/>
    <w:rsid w:val="004E79C4"/>
    <w:rsid w:val="004F4AAD"/>
    <w:rsid w:val="00500E10"/>
    <w:rsid w:val="00502833"/>
    <w:rsid w:val="005C465E"/>
    <w:rsid w:val="005F6A1D"/>
    <w:rsid w:val="006157F8"/>
    <w:rsid w:val="007C0F94"/>
    <w:rsid w:val="00875C95"/>
    <w:rsid w:val="00892462"/>
    <w:rsid w:val="008E2709"/>
    <w:rsid w:val="00900BAA"/>
    <w:rsid w:val="00924D7F"/>
    <w:rsid w:val="009260AC"/>
    <w:rsid w:val="009A4877"/>
    <w:rsid w:val="009D4AE1"/>
    <w:rsid w:val="00A27E6E"/>
    <w:rsid w:val="00A80053"/>
    <w:rsid w:val="00A8492B"/>
    <w:rsid w:val="00B059A9"/>
    <w:rsid w:val="00B118BA"/>
    <w:rsid w:val="00B30DC3"/>
    <w:rsid w:val="00B81903"/>
    <w:rsid w:val="00BB1AE8"/>
    <w:rsid w:val="00BB1AF7"/>
    <w:rsid w:val="00BD63F0"/>
    <w:rsid w:val="00BF034B"/>
    <w:rsid w:val="00C61D54"/>
    <w:rsid w:val="00C64135"/>
    <w:rsid w:val="00CA365B"/>
    <w:rsid w:val="00CC0AAC"/>
    <w:rsid w:val="00CC6B5B"/>
    <w:rsid w:val="00CD51BD"/>
    <w:rsid w:val="00CD61FF"/>
    <w:rsid w:val="00CD6814"/>
    <w:rsid w:val="00CE215C"/>
    <w:rsid w:val="00CF2ADA"/>
    <w:rsid w:val="00DB1A5A"/>
    <w:rsid w:val="00DF3093"/>
    <w:rsid w:val="00EA2275"/>
    <w:rsid w:val="00EB7B5E"/>
    <w:rsid w:val="00EF1A06"/>
    <w:rsid w:val="00F476F0"/>
    <w:rsid w:val="00F609DB"/>
    <w:rsid w:val="00F72396"/>
    <w:rsid w:val="00F74537"/>
    <w:rsid w:val="00F75944"/>
    <w:rsid w:val="00F8289C"/>
    <w:rsid w:val="00FD0CE4"/>
    <w:rsid w:val="00FE2014"/>
    <w:rsid w:val="01375DBE"/>
    <w:rsid w:val="08BA6CCC"/>
    <w:rsid w:val="0C5D03D7"/>
    <w:rsid w:val="0C7F1C11"/>
    <w:rsid w:val="1093489A"/>
    <w:rsid w:val="2CA62571"/>
    <w:rsid w:val="2E493998"/>
    <w:rsid w:val="39BD0683"/>
    <w:rsid w:val="541612DB"/>
    <w:rsid w:val="5DF04A47"/>
    <w:rsid w:val="61D37C8C"/>
    <w:rsid w:val="6EB14883"/>
    <w:rsid w:val="6EF0440F"/>
    <w:rsid w:val="73090A00"/>
    <w:rsid w:val="7DB75755"/>
    <w:rsid w:val="7F792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line="360" w:lineRule="auto"/>
      <w:outlineLvl w:val="0"/>
    </w:pPr>
    <w:rPr>
      <w:b/>
      <w:bCs/>
      <w:kern w:val="44"/>
      <w:sz w:val="32"/>
      <w:szCs w:val="32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line="360" w:lineRule="auto"/>
      <w:outlineLvl w:val="1"/>
    </w:pPr>
    <w:rPr>
      <w:rFonts w:cstheme="majorBidi"/>
      <w:b/>
      <w:bCs/>
      <w:sz w:val="30"/>
      <w:szCs w:val="30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23"/>
    <w:qFormat/>
    <w:uiPriority w:val="10"/>
    <w:pPr>
      <w:spacing w:before="240" w:after="60"/>
      <w:outlineLvl w:val="0"/>
    </w:pPr>
    <w:rPr>
      <w:rFonts w:cstheme="majorBidi"/>
      <w:b/>
      <w:bCs/>
      <w:sz w:val="36"/>
      <w:szCs w:val="36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16">
    <w:name w:val="页脚 字符"/>
    <w:basedOn w:val="12"/>
    <w:link w:val="7"/>
    <w:qFormat/>
    <w:uiPriority w:val="99"/>
    <w:rPr>
      <w:sz w:val="18"/>
      <w:szCs w:val="18"/>
    </w:rPr>
  </w:style>
  <w:style w:type="character" w:customStyle="1" w:styleId="17">
    <w:name w:val="标题 1 字符"/>
    <w:basedOn w:val="12"/>
    <w:link w:val="2"/>
    <w:qFormat/>
    <w:uiPriority w:val="9"/>
    <w:rPr>
      <w:rFonts w:ascii="宋体" w:hAnsi="宋体" w:eastAsia="宋体"/>
      <w:b/>
      <w:bCs/>
      <w:kern w:val="44"/>
      <w:sz w:val="32"/>
      <w:szCs w:val="32"/>
    </w:rPr>
  </w:style>
  <w:style w:type="character" w:customStyle="1" w:styleId="18">
    <w:name w:val="标题 2 字符"/>
    <w:basedOn w:val="12"/>
    <w:link w:val="3"/>
    <w:qFormat/>
    <w:uiPriority w:val="9"/>
    <w:rPr>
      <w:rFonts w:ascii="宋体" w:hAnsi="宋体" w:eastAsia="宋体" w:cstheme="majorBidi"/>
      <w:b/>
      <w:bCs/>
      <w:sz w:val="30"/>
      <w:szCs w:val="30"/>
    </w:rPr>
  </w:style>
  <w:style w:type="character" w:customStyle="1" w:styleId="19">
    <w:name w:val="批注框文本 字符"/>
    <w:basedOn w:val="12"/>
    <w:link w:val="6"/>
    <w:semiHidden/>
    <w:qFormat/>
    <w:uiPriority w:val="99"/>
    <w:rPr>
      <w:rFonts w:ascii="宋体" w:hAnsi="宋体" w:eastAsia="宋体"/>
      <w:sz w:val="18"/>
      <w:szCs w:val="18"/>
    </w:rPr>
  </w:style>
  <w:style w:type="character" w:customStyle="1" w:styleId="20">
    <w:name w:val="标题 3 字符"/>
    <w:basedOn w:val="12"/>
    <w:link w:val="4"/>
    <w:qFormat/>
    <w:uiPriority w:val="9"/>
    <w:rPr>
      <w:rFonts w:ascii="宋体" w:hAnsi="宋体" w:eastAsia="宋体"/>
      <w:b/>
      <w:bCs/>
      <w:sz w:val="32"/>
      <w:szCs w:val="32"/>
    </w:rPr>
  </w:style>
  <w:style w:type="paragraph" w:styleId="21">
    <w:name w:val="No Spacing"/>
    <w:link w:val="22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22">
    <w:name w:val="无间隔 字符"/>
    <w:basedOn w:val="12"/>
    <w:link w:val="21"/>
    <w:qFormat/>
    <w:uiPriority w:val="1"/>
    <w:rPr>
      <w:kern w:val="0"/>
      <w:sz w:val="22"/>
    </w:rPr>
  </w:style>
  <w:style w:type="character" w:customStyle="1" w:styleId="23">
    <w:name w:val="标题 字符"/>
    <w:basedOn w:val="12"/>
    <w:link w:val="9"/>
    <w:qFormat/>
    <w:uiPriority w:val="10"/>
    <w:rPr>
      <w:rFonts w:ascii="宋体" w:hAnsi="宋体" w:eastAsia="宋体" w:cstheme="majorBidi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cuments\&#33258;&#23450;&#20041;%20Office%20&#27169;&#26495;\SUNRISE&#25991;&#26723;WORD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6EAFAB-5C6E-41CF-909C-5F0086B8AF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SUNRISE文档WORD模板.dotx</Template>
  <Pages>3</Pages>
  <Words>951</Words>
  <Characters>1034</Characters>
  <Lines>2</Lines>
  <Paragraphs>1</Paragraphs>
  <TotalTime>0</TotalTime>
  <ScaleCrop>false</ScaleCrop>
  <LinksUpToDate>false</LinksUpToDate>
  <CharactersWithSpaces>1042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2019-04-04T02:07:00Z</dcterms:created>
  <dc:creator>lf</dc:creator>
  <cp:lastModifiedBy>随缘.</cp:lastModifiedBy>
  <dcterms:modified xsi:type="dcterms:W3CDTF">2025-12-24T08:45:51Z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eyJoZGlkIjoiNmU3ZjE1ZTU1MjJmM2JjMzRhNWZkMDRiYjdmOWU3YjciLCJ1c2VySWQiOiIzNTcwMzM4MjMifQ==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F0E11E9528264173B90B097A6120C8D8_13</vt:lpwstr>
  </property>
</Properties>
</file>