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0563F">
      <w:pPr>
        <w:pStyle w:val="49"/>
        <w:spacing w:line="480" w:lineRule="auto"/>
        <w:jc w:val="right"/>
        <w:outlineLvl w:val="9"/>
        <w:rPr>
          <w:rFonts w:hint="eastAsia" w:asciiTheme="minorEastAsia" w:hAnsiTheme="minorEastAsia" w:eastAsiaTheme="minorEastAsia"/>
          <w:szCs w:val="22"/>
          <w:u w:val="single"/>
        </w:rPr>
      </w:pPr>
      <w:bookmarkStart w:id="0" w:name="_Toc30304"/>
      <w:bookmarkStart w:id="1" w:name="_Toc6562"/>
      <w:bookmarkStart w:id="2" w:name="_Toc169526022"/>
      <w:bookmarkStart w:id="3" w:name="_Toc1091957850"/>
      <w:bookmarkStart w:id="4" w:name="_Toc169525933"/>
      <w:bookmarkStart w:id="5" w:name="_Toc170220798"/>
      <w:r>
        <w:rPr>
          <w:rFonts w:hint="eastAsia" w:asciiTheme="minorEastAsia" w:hAnsiTheme="minorEastAsia" w:eastAsiaTheme="minorEastAsia"/>
          <w:szCs w:val="22"/>
        </w:rPr>
        <w:t>文档编号：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Theme="minorEastAsia" w:hAnsiTheme="minorEastAsia" w:eastAsiaTheme="minorEastAsia"/>
          <w:szCs w:val="22"/>
          <w:u w:val="single"/>
        </w:rPr>
        <w:t xml:space="preserve"> </w:t>
      </w:r>
    </w:p>
    <w:p w14:paraId="2819971D">
      <w:pPr>
        <w:pStyle w:val="49"/>
        <w:spacing w:line="360" w:lineRule="auto"/>
        <w:jc w:val="right"/>
        <w:outlineLvl w:val="9"/>
        <w:rPr>
          <w:rFonts w:hint="eastAsia" w:asciiTheme="minorEastAsia" w:hAnsiTheme="minorEastAsia" w:eastAsiaTheme="minorEastAsia"/>
          <w:szCs w:val="22"/>
          <w:u w:val="single"/>
        </w:rPr>
      </w:pPr>
      <w:bookmarkStart w:id="6" w:name="_Toc13783"/>
      <w:bookmarkStart w:id="7" w:name="_Toc140337688"/>
      <w:bookmarkStart w:id="8" w:name="_Toc169526023"/>
      <w:bookmarkStart w:id="9" w:name="_Toc4768"/>
      <w:bookmarkStart w:id="10" w:name="_Toc169525934"/>
      <w:bookmarkStart w:id="11" w:name="_Toc170220799"/>
      <w:r>
        <w:rPr>
          <w:rFonts w:hint="eastAsia" w:asciiTheme="minorEastAsia" w:hAnsiTheme="minorEastAsia" w:eastAsiaTheme="minorEastAsia"/>
          <w:szCs w:val="22"/>
        </w:rPr>
        <w:t>版</w:t>
      </w:r>
      <w:r>
        <w:rPr>
          <w:rFonts w:asciiTheme="minorEastAsia" w:hAnsiTheme="minorEastAsia" w:eastAsiaTheme="minorEastAsia"/>
          <w:szCs w:val="22"/>
        </w:rPr>
        <w:t xml:space="preserve"> </w:t>
      </w:r>
      <w:r>
        <w:rPr>
          <w:rFonts w:hint="eastAsia" w:asciiTheme="minorEastAsia" w:hAnsiTheme="minorEastAsia" w:eastAsiaTheme="minorEastAsia"/>
          <w:szCs w:val="22"/>
        </w:rPr>
        <w:t>本</w:t>
      </w:r>
      <w:r>
        <w:rPr>
          <w:rFonts w:asciiTheme="minorEastAsia" w:hAnsiTheme="minorEastAsia" w:eastAsiaTheme="minorEastAsia"/>
          <w:szCs w:val="22"/>
        </w:rPr>
        <w:t xml:space="preserve"> </w:t>
      </w:r>
      <w:r>
        <w:rPr>
          <w:rFonts w:hint="eastAsia" w:asciiTheme="minorEastAsia" w:hAnsiTheme="minorEastAsia" w:eastAsiaTheme="minorEastAsia"/>
          <w:szCs w:val="22"/>
        </w:rPr>
        <w:t>号：</w:t>
      </w:r>
      <w:r>
        <w:rPr>
          <w:rFonts w:hint="eastAsia" w:asciiTheme="minorEastAsia" w:hAnsiTheme="minorEastAsia" w:eastAsiaTheme="minorEastAsia"/>
          <w:szCs w:val="22"/>
          <w:u w:val="single"/>
        </w:rPr>
        <w:t>V</w:t>
      </w:r>
      <w:r>
        <w:rPr>
          <w:rFonts w:hint="eastAsia" w:asciiTheme="minorEastAsia" w:hAnsiTheme="minorEastAsia" w:eastAsiaTheme="minorEastAsia"/>
          <w:szCs w:val="22"/>
          <w:u w:val="single"/>
          <w:lang w:val="en-US" w:eastAsia="zh-CN"/>
        </w:rPr>
        <w:t>1</w:t>
      </w:r>
      <w:r>
        <w:rPr>
          <w:rFonts w:asciiTheme="minorEastAsia" w:hAnsiTheme="minorEastAsia" w:eastAsiaTheme="minorEastAsia"/>
          <w:szCs w:val="22"/>
          <w:u w:val="single"/>
        </w:rPr>
        <w:t>.</w:t>
      </w:r>
      <w:bookmarkEnd w:id="6"/>
      <w:bookmarkEnd w:id="7"/>
      <w:bookmarkEnd w:id="8"/>
      <w:bookmarkEnd w:id="9"/>
      <w:bookmarkEnd w:id="10"/>
      <w:bookmarkEnd w:id="11"/>
      <w:r>
        <w:rPr>
          <w:rFonts w:hint="eastAsia" w:asciiTheme="minorEastAsia" w:hAnsiTheme="minorEastAsia" w:eastAsiaTheme="minorEastAsia"/>
          <w:szCs w:val="22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Cs w:val="22"/>
          <w:u w:val="single"/>
        </w:rPr>
        <w:t xml:space="preserve">  </w:t>
      </w:r>
      <w:r>
        <w:rPr>
          <w:rFonts w:asciiTheme="minorEastAsia" w:hAnsiTheme="minorEastAsia" w:eastAsiaTheme="minorEastAsia"/>
          <w:szCs w:val="22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Cs w:val="22"/>
          <w:u w:val="single"/>
        </w:rPr>
        <w:t xml:space="preserve">   </w:t>
      </w:r>
    </w:p>
    <w:p w14:paraId="78C70069">
      <w:pPr>
        <w:pStyle w:val="49"/>
        <w:spacing w:line="360" w:lineRule="auto"/>
        <w:jc w:val="right"/>
        <w:outlineLvl w:val="9"/>
        <w:rPr>
          <w:rFonts w:hint="eastAsia" w:asciiTheme="minorEastAsia" w:hAnsiTheme="minorEastAsia" w:eastAsiaTheme="minorEastAsia"/>
          <w:szCs w:val="22"/>
          <w:u w:val="single"/>
        </w:rPr>
      </w:pPr>
      <w:bookmarkStart w:id="12" w:name="_Toc169526024"/>
      <w:bookmarkStart w:id="13" w:name="_Toc718477810"/>
      <w:bookmarkStart w:id="14" w:name="_Toc170220800"/>
      <w:bookmarkStart w:id="15" w:name="_Toc16001"/>
      <w:bookmarkStart w:id="16" w:name="_Toc28631"/>
      <w:bookmarkStart w:id="17" w:name="_Toc169525935"/>
      <w:r>
        <w:rPr>
          <w:rFonts w:hint="eastAsia" w:asciiTheme="minorEastAsia" w:hAnsiTheme="minorEastAsia" w:eastAsiaTheme="minorEastAsia"/>
          <w:szCs w:val="22"/>
        </w:rPr>
        <w:t>密</w:t>
      </w:r>
      <w:r>
        <w:rPr>
          <w:rFonts w:asciiTheme="minorEastAsia" w:hAnsiTheme="minorEastAsia" w:eastAsiaTheme="minorEastAsia"/>
          <w:szCs w:val="22"/>
        </w:rPr>
        <w:t xml:space="preserve">    </w:t>
      </w:r>
      <w:r>
        <w:rPr>
          <w:rFonts w:hint="eastAsia" w:asciiTheme="minorEastAsia" w:hAnsiTheme="minorEastAsia" w:eastAsiaTheme="minorEastAsia"/>
          <w:szCs w:val="22"/>
        </w:rPr>
        <w:t>级：</w:t>
      </w:r>
      <w:r>
        <w:rPr>
          <w:rFonts w:hint="eastAsia" w:asciiTheme="minorEastAsia" w:hAnsiTheme="minorEastAsia" w:eastAsiaTheme="minorEastAsia"/>
          <w:szCs w:val="22"/>
          <w:u w:val="single"/>
        </w:rPr>
        <w:t>高级</w:t>
      </w:r>
      <w:bookmarkEnd w:id="12"/>
      <w:bookmarkEnd w:id="13"/>
      <w:bookmarkEnd w:id="14"/>
      <w:bookmarkEnd w:id="15"/>
      <w:bookmarkEnd w:id="16"/>
      <w:bookmarkEnd w:id="17"/>
      <w:r>
        <w:rPr>
          <w:rFonts w:asciiTheme="minorEastAsia" w:hAnsiTheme="minorEastAsia" w:eastAsiaTheme="minorEastAsia"/>
          <w:szCs w:val="22"/>
          <w:u w:val="single"/>
        </w:rPr>
        <w:t xml:space="preserve">  </w:t>
      </w:r>
      <w:r>
        <w:rPr>
          <w:rFonts w:asciiTheme="minorEastAsia" w:hAnsiTheme="minorEastAsia" w:eastAsiaTheme="minorEastAsia"/>
          <w:b/>
          <w:bCs/>
          <w:szCs w:val="22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Cs w:val="22"/>
          <w:u w:val="single"/>
        </w:rPr>
        <w:t xml:space="preserve"> </w:t>
      </w:r>
      <w:r>
        <w:rPr>
          <w:rFonts w:asciiTheme="minorEastAsia" w:hAnsiTheme="minorEastAsia" w:eastAsiaTheme="minorEastAsia"/>
          <w:b/>
          <w:bCs/>
          <w:szCs w:val="22"/>
          <w:u w:val="single"/>
        </w:rPr>
        <w:t xml:space="preserve">  </w:t>
      </w:r>
    </w:p>
    <w:p w14:paraId="0567A3ED">
      <w:pPr>
        <w:spacing w:line="360" w:lineRule="auto"/>
        <w:rPr>
          <w:rFonts w:hint="eastAsia" w:asciiTheme="minorEastAsia" w:hAnsiTheme="minorEastAsia"/>
        </w:rPr>
      </w:pPr>
    </w:p>
    <w:p w14:paraId="74085E3C">
      <w:pPr>
        <w:spacing w:line="360" w:lineRule="auto"/>
        <w:rPr>
          <w:rFonts w:hint="eastAsia" w:asciiTheme="minorEastAsia" w:hAnsiTheme="minorEastAsia"/>
        </w:rPr>
      </w:pPr>
    </w:p>
    <w:p w14:paraId="00142B45">
      <w:pPr>
        <w:spacing w:line="360" w:lineRule="auto"/>
        <w:rPr>
          <w:rFonts w:hint="eastAsia" w:asciiTheme="minorEastAsia" w:hAnsiTheme="minorEastAsia"/>
        </w:rPr>
      </w:pPr>
    </w:p>
    <w:p w14:paraId="20CCB921">
      <w:pPr>
        <w:spacing w:line="360" w:lineRule="auto"/>
        <w:rPr>
          <w:rFonts w:hint="eastAsia" w:asciiTheme="minorEastAsia" w:hAnsiTheme="minorEastAsia"/>
        </w:rPr>
      </w:pPr>
    </w:p>
    <w:p w14:paraId="68E6F044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7E9C60E7">
      <w:pPr>
        <w:spacing w:line="360" w:lineRule="auto"/>
        <w:jc w:val="center"/>
        <w:outlineLvl w:val="9"/>
        <w:rPr>
          <w:rFonts w:hint="eastAsia" w:asciiTheme="minorEastAsia" w:hAnsiTheme="minorEastAsia"/>
          <w:b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百琪达</w:t>
      </w:r>
      <w:r>
        <w:rPr>
          <w:rFonts w:hint="eastAsia" w:asciiTheme="minorEastAsia" w:hAnsiTheme="minorEastAsia"/>
          <w:b/>
          <w:color w:val="000000" w:themeColor="text1"/>
          <w:sz w:val="72"/>
          <w14:textFill>
            <w14:solidFill>
              <w14:schemeClr w14:val="tx1"/>
            </w14:solidFill>
          </w14:textFill>
        </w:rPr>
        <w:t>项目</w:t>
      </w:r>
    </w:p>
    <w:p w14:paraId="503E75F4">
      <w:pPr>
        <w:spacing w:line="360" w:lineRule="auto"/>
        <w:jc w:val="center"/>
        <w:outlineLvl w:val="9"/>
        <w:rPr>
          <w:rFonts w:hint="eastAsia" w:asciiTheme="minorEastAsia" w:hAnsiTheme="minorEastAsia"/>
          <w:b/>
          <w:color w:val="000000" w:themeColor="text1"/>
          <w:spacing w:val="50"/>
          <w:sz w:val="52"/>
          <w14:textFill>
            <w14:solidFill>
              <w14:schemeClr w14:val="tx1"/>
            </w14:solidFill>
          </w14:textFill>
        </w:rPr>
      </w:pPr>
      <w:bookmarkStart w:id="18" w:name="_Toc169525936"/>
      <w:bookmarkStart w:id="19" w:name="_Toc169526025"/>
      <w:bookmarkStart w:id="20" w:name="_Toc156005589"/>
      <w:bookmarkStart w:id="21" w:name="_Toc19663"/>
      <w:bookmarkStart w:id="22" w:name="_Toc2564"/>
      <w:bookmarkStart w:id="23" w:name="_Toc170220801"/>
      <w:r>
        <w:rPr>
          <w:rFonts w:hint="eastAsia" w:cs="宋体" w:asciiTheme="minorEastAsia" w:hAnsiTheme="minorEastAsia"/>
          <w:b/>
          <w:color w:val="000000" w:themeColor="text1"/>
          <w:sz w:val="72"/>
          <w14:textFill>
            <w14:solidFill>
              <w14:schemeClr w14:val="tx1"/>
            </w14:solidFill>
          </w14:textFill>
        </w:rPr>
        <w:t>软件</w:t>
      </w:r>
      <w:bookmarkEnd w:id="18"/>
      <w:bookmarkEnd w:id="19"/>
      <w:r>
        <w:rPr>
          <w:rFonts w:hint="eastAsia" w:asciiTheme="minorEastAsia" w:hAnsiTheme="minorEastAsia"/>
          <w:b/>
          <w:color w:val="000000" w:themeColor="text1"/>
          <w:sz w:val="72"/>
          <w14:textFill>
            <w14:solidFill>
              <w14:schemeClr w14:val="tx1"/>
            </w14:solidFill>
          </w14:textFill>
        </w:rPr>
        <w:t>系统蓝图文件</w:t>
      </w:r>
      <w:bookmarkEnd w:id="20"/>
      <w:bookmarkEnd w:id="21"/>
      <w:bookmarkEnd w:id="22"/>
      <w:bookmarkEnd w:id="23"/>
    </w:p>
    <w:p w14:paraId="073FEB2F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3A2E1FE0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168997E3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3794AC31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5D9EADA3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2B783E40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3EF8F6A4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701ABFCD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4D3D0D97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3A3F25E9">
      <w:pPr>
        <w:spacing w:line="360" w:lineRule="auto"/>
        <w:rPr>
          <w:rFonts w:hint="eastAsia" w:asciiTheme="minorEastAsia" w:hAnsiTheme="minorEastAsia"/>
          <w:color w:val="FFFFFF" w:themeColor="background1"/>
          <w14:textFill>
            <w14:solidFill>
              <w14:schemeClr w14:val="bg1"/>
            </w14:solidFill>
          </w14:textFill>
        </w:rPr>
      </w:pPr>
    </w:p>
    <w:p w14:paraId="239E1D22">
      <w:pPr>
        <w:spacing w:line="360" w:lineRule="auto"/>
        <w:jc w:val="center"/>
        <w:rPr>
          <w:rFonts w:hint="eastAsia" w:asciiTheme="minorEastAsia" w:hAnsiTheme="minorEastAsia"/>
          <w:color w:val="262626"/>
          <w:sz w:val="28"/>
          <w:szCs w:val="28"/>
        </w:rPr>
      </w:pPr>
    </w:p>
    <w:p w14:paraId="03D071C1">
      <w:pPr>
        <w:wordWrap w:val="0"/>
        <w:spacing w:line="360" w:lineRule="auto"/>
        <w:jc w:val="right"/>
        <w:rPr>
          <w:rFonts w:hint="eastAsia" w:asciiTheme="minorEastAsia" w:hAnsiTheme="minorEastAsia"/>
          <w:color w:val="262626"/>
        </w:rPr>
      </w:pPr>
    </w:p>
    <w:p w14:paraId="6EA8A8C4">
      <w:pPr>
        <w:wordWrap w:val="0"/>
        <w:spacing w:line="360" w:lineRule="auto"/>
        <w:jc w:val="right"/>
        <w:rPr>
          <w:rFonts w:hint="eastAsia" w:asciiTheme="minorEastAsia" w:hAnsiTheme="minorEastAsia"/>
          <w:color w:val="262626"/>
        </w:rPr>
      </w:pPr>
    </w:p>
    <w:p w14:paraId="78157932">
      <w:pPr>
        <w:rPr>
          <w:rFonts w:hint="eastAsia" w:asciiTheme="minorEastAsia" w:hAnsiTheme="minorEastAsia"/>
        </w:rPr>
      </w:pPr>
    </w:p>
    <w:p w14:paraId="69CD60F1">
      <w:pPr>
        <w:rPr>
          <w:rFonts w:hint="eastAsia" w:asciiTheme="minorEastAsia" w:hAnsiTheme="minorEastAsia"/>
          <w:b/>
          <w:bCs/>
          <w:sz w:val="32"/>
        </w:rPr>
      </w:pPr>
      <w:bookmarkStart w:id="24" w:name="_Toc170220802"/>
      <w:bookmarkStart w:id="25" w:name="_Toc169525937"/>
      <w:bookmarkStart w:id="26" w:name="_Toc12420"/>
      <w:bookmarkStart w:id="27" w:name="_Toc169526026"/>
      <w:bookmarkStart w:id="28" w:name="_Toc1761"/>
      <w:bookmarkStart w:id="29" w:name="_Toc2055884983"/>
      <w:r>
        <w:rPr>
          <w:rFonts w:hint="eastAsia" w:asciiTheme="minorEastAsia" w:hAnsiTheme="minorEastAsia"/>
          <w:b/>
          <w:bCs/>
          <w:sz w:val="32"/>
        </w:rPr>
        <w:br w:type="page"/>
      </w:r>
    </w:p>
    <w:p w14:paraId="6AD75C96">
      <w:pPr>
        <w:outlineLvl w:val="9"/>
        <w:rPr>
          <w:rFonts w:hint="eastAsia" w:asciiTheme="minorEastAsia" w:hAnsiTheme="minorEastAsia"/>
          <w:b/>
          <w:bCs/>
          <w:sz w:val="32"/>
        </w:rPr>
      </w:pPr>
      <w:r>
        <w:rPr>
          <w:rFonts w:hint="eastAsia" w:asciiTheme="minorEastAsia" w:hAnsiTheme="minorEastAsia"/>
          <w:b/>
          <w:bCs/>
          <w:sz w:val="32"/>
        </w:rPr>
        <w:t>文档控制</w:t>
      </w:r>
      <w:bookmarkEnd w:id="24"/>
      <w:bookmarkEnd w:id="25"/>
      <w:bookmarkEnd w:id="26"/>
      <w:bookmarkEnd w:id="27"/>
      <w:bookmarkEnd w:id="28"/>
      <w:bookmarkEnd w:id="29"/>
    </w:p>
    <w:p w14:paraId="6307D635">
      <w:pPr>
        <w:outlineLvl w:val="9"/>
        <w:rPr>
          <w:rFonts w:hint="eastAsia" w:asciiTheme="minorEastAsia" w:hAnsiTheme="minorEastAsia"/>
        </w:rPr>
      </w:pPr>
    </w:p>
    <w:p w14:paraId="3EB1A8DD">
      <w:pPr>
        <w:outlineLvl w:val="9"/>
        <w:rPr>
          <w:rFonts w:hint="eastAsia" w:asciiTheme="minorEastAsia" w:hAnsiTheme="minorEastAsia"/>
          <w:b/>
        </w:rPr>
      </w:pPr>
      <w:bookmarkStart w:id="30" w:name="_Toc170220803"/>
      <w:bookmarkStart w:id="31" w:name="_Toc169525938"/>
      <w:bookmarkStart w:id="32" w:name="_Toc169526027"/>
      <w:bookmarkStart w:id="33" w:name="_Toc584"/>
      <w:bookmarkStart w:id="34" w:name="_Toc19515"/>
      <w:bookmarkStart w:id="35" w:name="_Toc247029051"/>
      <w:r>
        <w:rPr>
          <w:rFonts w:hint="eastAsia" w:asciiTheme="minorEastAsia" w:hAnsiTheme="minorEastAsia"/>
          <w:b/>
        </w:rPr>
        <w:t>更改记录</w:t>
      </w:r>
      <w:bookmarkEnd w:id="30"/>
      <w:bookmarkEnd w:id="31"/>
      <w:bookmarkEnd w:id="32"/>
      <w:bookmarkEnd w:id="33"/>
      <w:bookmarkEnd w:id="34"/>
      <w:bookmarkEnd w:id="35"/>
    </w:p>
    <w:p w14:paraId="40A7F88F">
      <w:pPr>
        <w:outlineLvl w:val="9"/>
        <w:rPr>
          <w:rFonts w:hint="eastAsia" w:asciiTheme="minorEastAsia" w:hAnsiTheme="minorEastAsia"/>
        </w:rPr>
      </w:pPr>
    </w:p>
    <w:tbl>
      <w:tblPr>
        <w:tblStyle w:val="28"/>
        <w:tblW w:w="4998" w:type="pct"/>
        <w:jc w:val="righ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96" w:type="dxa"/>
          <w:bottom w:w="0" w:type="dxa"/>
          <w:right w:w="96" w:type="dxa"/>
        </w:tblCellMar>
      </w:tblPr>
      <w:tblGrid>
        <w:gridCol w:w="1575"/>
        <w:gridCol w:w="1035"/>
        <w:gridCol w:w="740"/>
        <w:gridCol w:w="4929"/>
      </w:tblGrid>
      <w:tr w14:paraId="3E632D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tblHeader/>
          <w:jc w:val="right"/>
        </w:trPr>
        <w:tc>
          <w:tcPr>
            <w:tcW w:w="951" w:type="pct"/>
            <w:tcBorders>
              <w:bottom w:val="nil"/>
              <w:right w:val="nil"/>
            </w:tcBorders>
            <w:shd w:val="pct10" w:color="auto" w:fill="auto"/>
          </w:tcPr>
          <w:p w14:paraId="06F74A5D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日期</w:t>
            </w:r>
          </w:p>
        </w:tc>
        <w:tc>
          <w:tcPr>
            <w:tcW w:w="625" w:type="pct"/>
            <w:tcBorders>
              <w:left w:val="nil"/>
              <w:bottom w:val="nil"/>
              <w:right w:val="nil"/>
            </w:tcBorders>
            <w:shd w:val="pct10" w:color="auto" w:fill="auto"/>
          </w:tcPr>
          <w:p w14:paraId="57EC7F0A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作者</w:t>
            </w:r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shd w:val="pct10" w:color="auto" w:fill="auto"/>
          </w:tcPr>
          <w:p w14:paraId="26D297BF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版本</w:t>
            </w:r>
          </w:p>
        </w:tc>
        <w:tc>
          <w:tcPr>
            <w:tcW w:w="2976" w:type="pct"/>
            <w:tcBorders>
              <w:left w:val="nil"/>
              <w:bottom w:val="nil"/>
            </w:tcBorders>
            <w:shd w:val="pct10" w:color="auto" w:fill="auto"/>
          </w:tcPr>
          <w:p w14:paraId="7814508D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更改参考</w:t>
            </w:r>
          </w:p>
        </w:tc>
      </w:tr>
      <w:tr w14:paraId="5C0871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trHeight w:val="60" w:hRule="exact"/>
          <w:tblHeader/>
          <w:jc w:val="right"/>
        </w:trPr>
        <w:tc>
          <w:tcPr>
            <w:tcW w:w="951" w:type="pct"/>
            <w:tcBorders>
              <w:left w:val="nil"/>
              <w:right w:val="nil"/>
            </w:tcBorders>
            <w:shd w:val="pct50" w:color="auto" w:fill="auto"/>
          </w:tcPr>
          <w:p w14:paraId="7DC53BD8">
            <w:pPr>
              <w:outlineLvl w:val="9"/>
              <w:rPr>
                <w:rFonts w:hint="default" w:ascii="Times New Roman" w:hAnsi="Times New Roman" w:cs="Times New Roman"/>
                <w:sz w:val="8"/>
              </w:rPr>
            </w:pPr>
          </w:p>
        </w:tc>
        <w:tc>
          <w:tcPr>
            <w:tcW w:w="625" w:type="pct"/>
            <w:tcBorders>
              <w:left w:val="nil"/>
              <w:right w:val="nil"/>
            </w:tcBorders>
            <w:shd w:val="pct50" w:color="auto" w:fill="auto"/>
          </w:tcPr>
          <w:p w14:paraId="1295B6AC">
            <w:pPr>
              <w:outlineLvl w:val="9"/>
              <w:rPr>
                <w:rFonts w:hint="default" w:ascii="Times New Roman" w:hAnsi="Times New Roman" w:cs="Times New Roman"/>
                <w:sz w:val="8"/>
              </w:rPr>
            </w:pPr>
          </w:p>
        </w:tc>
        <w:tc>
          <w:tcPr>
            <w:tcW w:w="447" w:type="pct"/>
            <w:tcBorders>
              <w:left w:val="nil"/>
              <w:right w:val="nil"/>
            </w:tcBorders>
            <w:shd w:val="pct50" w:color="auto" w:fill="auto"/>
          </w:tcPr>
          <w:p w14:paraId="148D98DD">
            <w:pPr>
              <w:outlineLvl w:val="9"/>
              <w:rPr>
                <w:rFonts w:hint="default" w:ascii="Times New Roman" w:hAnsi="Times New Roman" w:cs="Times New Roman"/>
                <w:sz w:val="8"/>
              </w:rPr>
            </w:pPr>
          </w:p>
        </w:tc>
        <w:tc>
          <w:tcPr>
            <w:tcW w:w="2976" w:type="pct"/>
            <w:tcBorders>
              <w:left w:val="nil"/>
              <w:right w:val="nil"/>
            </w:tcBorders>
            <w:shd w:val="pct50" w:color="auto" w:fill="auto"/>
          </w:tcPr>
          <w:p w14:paraId="172E087D">
            <w:pPr>
              <w:outlineLvl w:val="9"/>
              <w:rPr>
                <w:rFonts w:hint="default" w:ascii="Times New Roman" w:hAnsi="Times New Roman" w:cs="Times New Roman"/>
                <w:sz w:val="8"/>
              </w:rPr>
            </w:pPr>
          </w:p>
        </w:tc>
      </w:tr>
      <w:tr w14:paraId="212EA9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trHeight w:val="322" w:hRule="atLeast"/>
          <w:jc w:val="right"/>
        </w:trPr>
        <w:tc>
          <w:tcPr>
            <w:tcW w:w="951" w:type="pct"/>
            <w:tcBorders>
              <w:top w:val="nil"/>
            </w:tcBorders>
          </w:tcPr>
          <w:p w14:paraId="4AFF25D6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2025-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</w:rPr>
              <w:t>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24</w:t>
            </w:r>
          </w:p>
        </w:tc>
        <w:tc>
          <w:tcPr>
            <w:tcW w:w="625" w:type="pct"/>
            <w:tcBorders>
              <w:top w:val="nil"/>
            </w:tcBorders>
          </w:tcPr>
          <w:p w14:paraId="395B70F6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覃楚胧</w:t>
            </w:r>
          </w:p>
        </w:tc>
        <w:tc>
          <w:tcPr>
            <w:tcW w:w="447" w:type="pct"/>
            <w:tcBorders>
              <w:top w:val="nil"/>
            </w:tcBorders>
          </w:tcPr>
          <w:p w14:paraId="04096EA1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V1.0</w:t>
            </w:r>
          </w:p>
        </w:tc>
        <w:tc>
          <w:tcPr>
            <w:tcW w:w="2976" w:type="pct"/>
            <w:tcBorders>
              <w:top w:val="nil"/>
            </w:tcBorders>
          </w:tcPr>
          <w:p w14:paraId="78E5C11F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创建</w:t>
            </w:r>
          </w:p>
        </w:tc>
      </w:tr>
      <w:tr w14:paraId="341EDF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  <w:shd w:val="clear" w:color="auto" w:fill="auto"/>
          </w:tcPr>
          <w:p w14:paraId="162FABB6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2026-1-8</w:t>
            </w:r>
          </w:p>
        </w:tc>
        <w:tc>
          <w:tcPr>
            <w:tcW w:w="625" w:type="pct"/>
            <w:shd w:val="clear" w:color="auto" w:fill="auto"/>
          </w:tcPr>
          <w:p w14:paraId="3DDB2D80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覃楚胧</w:t>
            </w:r>
          </w:p>
        </w:tc>
        <w:tc>
          <w:tcPr>
            <w:tcW w:w="447" w:type="pct"/>
            <w:shd w:val="clear" w:color="auto" w:fill="auto"/>
          </w:tcPr>
          <w:p w14:paraId="1C6D4CD0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V1.1</w:t>
            </w:r>
          </w:p>
        </w:tc>
        <w:tc>
          <w:tcPr>
            <w:tcW w:w="2976" w:type="pct"/>
          </w:tcPr>
          <w:p w14:paraId="28287BB7">
            <w:pPr>
              <w:outlineLvl w:val="9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修订</w:t>
            </w:r>
          </w:p>
        </w:tc>
      </w:tr>
      <w:tr w14:paraId="33ABED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</w:tcPr>
          <w:p w14:paraId="1F6342BE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2026-1-10</w:t>
            </w:r>
          </w:p>
        </w:tc>
        <w:tc>
          <w:tcPr>
            <w:tcW w:w="625" w:type="pct"/>
          </w:tcPr>
          <w:p w14:paraId="3E04449F">
            <w:pPr>
              <w:outlineLvl w:val="9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覃楚胧</w:t>
            </w:r>
          </w:p>
        </w:tc>
        <w:tc>
          <w:tcPr>
            <w:tcW w:w="447" w:type="pct"/>
          </w:tcPr>
          <w:p w14:paraId="44C95A2F">
            <w:pPr>
              <w:outlineLvl w:val="9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V1.2</w:t>
            </w:r>
          </w:p>
        </w:tc>
        <w:tc>
          <w:tcPr>
            <w:tcW w:w="2976" w:type="pct"/>
          </w:tcPr>
          <w:p w14:paraId="7B958F6B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修订</w:t>
            </w:r>
          </w:p>
        </w:tc>
      </w:tr>
      <w:tr w14:paraId="20C58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  <w:shd w:val="clear" w:color="auto" w:fill="auto"/>
          </w:tcPr>
          <w:p w14:paraId="65C76FAF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2026-1-14</w:t>
            </w:r>
          </w:p>
        </w:tc>
        <w:tc>
          <w:tcPr>
            <w:tcW w:w="625" w:type="pct"/>
            <w:shd w:val="clear" w:color="auto" w:fill="auto"/>
          </w:tcPr>
          <w:p w14:paraId="2F1469A3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覃楚胧</w:t>
            </w:r>
          </w:p>
        </w:tc>
        <w:tc>
          <w:tcPr>
            <w:tcW w:w="447" w:type="pct"/>
            <w:shd w:val="clear" w:color="auto" w:fill="auto"/>
          </w:tcPr>
          <w:p w14:paraId="3D255C9E">
            <w:pPr>
              <w:outlineLvl w:val="9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V1.3</w:t>
            </w:r>
          </w:p>
        </w:tc>
        <w:tc>
          <w:tcPr>
            <w:tcW w:w="2976" w:type="pct"/>
            <w:shd w:val="clear" w:color="auto" w:fill="auto"/>
          </w:tcPr>
          <w:p w14:paraId="5D5F0166">
            <w:pPr>
              <w:outlineLvl w:val="9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修订</w:t>
            </w:r>
          </w:p>
        </w:tc>
      </w:tr>
      <w:tr w14:paraId="48BD36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  <w:shd w:val="clear" w:color="auto" w:fill="auto"/>
          </w:tcPr>
          <w:p w14:paraId="5474BE1A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25" w:type="pct"/>
            <w:shd w:val="clear" w:color="auto" w:fill="auto"/>
          </w:tcPr>
          <w:p w14:paraId="1DADDA1E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47" w:type="pct"/>
            <w:shd w:val="clear" w:color="auto" w:fill="auto"/>
          </w:tcPr>
          <w:p w14:paraId="31956F3D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76" w:type="pct"/>
            <w:shd w:val="clear" w:color="auto" w:fill="auto"/>
          </w:tcPr>
          <w:p w14:paraId="4CD955CB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</w:tr>
      <w:tr w14:paraId="190BFB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  <w:shd w:val="clear" w:color="auto" w:fill="auto"/>
          </w:tcPr>
          <w:p w14:paraId="1DDC9EE1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25" w:type="pct"/>
            <w:shd w:val="clear" w:color="auto" w:fill="auto"/>
          </w:tcPr>
          <w:p w14:paraId="33C7DD94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47" w:type="pct"/>
            <w:shd w:val="clear" w:color="auto" w:fill="auto"/>
          </w:tcPr>
          <w:p w14:paraId="158C4751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76" w:type="pct"/>
            <w:shd w:val="clear" w:color="auto" w:fill="auto"/>
          </w:tcPr>
          <w:p w14:paraId="4198AC04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</w:tr>
      <w:tr w14:paraId="1E8146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</w:tcPr>
          <w:p w14:paraId="7BAE0D7B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5F48287C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47" w:type="pct"/>
          </w:tcPr>
          <w:p w14:paraId="6E46002D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76" w:type="pct"/>
          </w:tcPr>
          <w:p w14:paraId="0E81A41B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</w:tr>
      <w:tr w14:paraId="35C1C3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</w:tcPr>
          <w:p w14:paraId="6081FEEB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761D588E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47" w:type="pct"/>
          </w:tcPr>
          <w:p w14:paraId="5EDB41F6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76" w:type="pct"/>
          </w:tcPr>
          <w:p w14:paraId="1C7E564F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</w:tr>
      <w:tr w14:paraId="0A6255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96" w:type="dxa"/>
            <w:bottom w:w="0" w:type="dxa"/>
            <w:right w:w="96" w:type="dxa"/>
          </w:tblCellMar>
        </w:tblPrEx>
        <w:trPr>
          <w:cantSplit/>
          <w:jc w:val="right"/>
        </w:trPr>
        <w:tc>
          <w:tcPr>
            <w:tcW w:w="951" w:type="pct"/>
          </w:tcPr>
          <w:p w14:paraId="656E606C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25" w:type="pct"/>
          </w:tcPr>
          <w:p w14:paraId="56760E50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47" w:type="pct"/>
          </w:tcPr>
          <w:p w14:paraId="0A0FEF4E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76" w:type="pct"/>
          </w:tcPr>
          <w:p w14:paraId="205C2774">
            <w:pPr>
              <w:outlineLvl w:val="9"/>
              <w:rPr>
                <w:rFonts w:hint="default" w:ascii="Times New Roman" w:hAnsi="Times New Roman" w:cs="Times New Roman"/>
              </w:rPr>
            </w:pPr>
          </w:p>
        </w:tc>
      </w:tr>
    </w:tbl>
    <w:p w14:paraId="79805A99">
      <w:pPr>
        <w:outlineLvl w:val="9"/>
        <w:rPr>
          <w:rFonts w:hint="eastAsia" w:asciiTheme="minorEastAsia" w:hAnsiTheme="minorEastAsia"/>
        </w:rPr>
      </w:pPr>
    </w:p>
    <w:p w14:paraId="4C209418">
      <w:pPr>
        <w:outlineLvl w:val="9"/>
        <w:rPr>
          <w:rFonts w:hint="eastAsia" w:asciiTheme="minorEastAsia" w:hAnsiTheme="minorEastAsia"/>
        </w:rPr>
      </w:pPr>
    </w:p>
    <w:p w14:paraId="18DE47F2">
      <w:pPr>
        <w:outlineLvl w:val="9"/>
        <w:rPr>
          <w:rFonts w:hint="eastAsia" w:asciiTheme="minorEastAsia" w:hAnsiTheme="minorEastAsia"/>
          <w:b/>
        </w:rPr>
      </w:pPr>
      <w:bookmarkStart w:id="36" w:name="_Toc169525939"/>
      <w:bookmarkStart w:id="37" w:name="_Toc169526028"/>
      <w:bookmarkStart w:id="38" w:name="_Toc170220804"/>
      <w:bookmarkStart w:id="39" w:name="_Toc16514"/>
      <w:bookmarkStart w:id="40" w:name="_Toc18828"/>
      <w:bookmarkStart w:id="41" w:name="_Toc731370506"/>
      <w:r>
        <w:rPr>
          <w:rFonts w:hint="eastAsia" w:asciiTheme="minorEastAsia" w:hAnsiTheme="minorEastAsia"/>
          <w:b/>
        </w:rPr>
        <w:t>查阅</w:t>
      </w:r>
      <w:bookmarkEnd w:id="36"/>
      <w:bookmarkEnd w:id="37"/>
      <w:bookmarkEnd w:id="38"/>
      <w:bookmarkEnd w:id="39"/>
      <w:bookmarkEnd w:id="40"/>
      <w:bookmarkEnd w:id="41"/>
    </w:p>
    <w:p w14:paraId="227ABF9F">
      <w:pPr>
        <w:outlineLvl w:val="9"/>
        <w:rPr>
          <w:rFonts w:hint="eastAsia" w:asciiTheme="minorEastAsia" w:hAnsiTheme="minorEastAsia"/>
        </w:rPr>
      </w:pPr>
    </w:p>
    <w:tbl>
      <w:tblPr>
        <w:tblStyle w:val="28"/>
        <w:tblW w:w="4999" w:type="pct"/>
        <w:jc w:val="righ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1501"/>
        <w:gridCol w:w="4977"/>
      </w:tblGrid>
      <w:tr w14:paraId="14041D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right"/>
        </w:trPr>
        <w:tc>
          <w:tcPr>
            <w:tcW w:w="1088" w:type="pct"/>
            <w:tcBorders>
              <w:bottom w:val="nil"/>
              <w:right w:val="nil"/>
            </w:tcBorders>
            <w:shd w:val="pct10" w:color="auto" w:fill="auto"/>
          </w:tcPr>
          <w:p w14:paraId="5A15ECC9">
            <w:pPr>
              <w:outlineLvl w:val="9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姓名</w:t>
            </w:r>
          </w:p>
        </w:tc>
        <w:tc>
          <w:tcPr>
            <w:tcW w:w="906" w:type="pct"/>
            <w:tcBorders>
              <w:bottom w:val="nil"/>
            </w:tcBorders>
            <w:shd w:val="pct10" w:color="auto" w:fill="auto"/>
          </w:tcPr>
          <w:p w14:paraId="1629B370">
            <w:pPr>
              <w:outlineLvl w:val="9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职位</w:t>
            </w:r>
          </w:p>
        </w:tc>
        <w:tc>
          <w:tcPr>
            <w:tcW w:w="3004" w:type="pct"/>
            <w:tcBorders>
              <w:left w:val="nil"/>
              <w:bottom w:val="nil"/>
            </w:tcBorders>
            <w:shd w:val="pct10" w:color="auto" w:fill="auto"/>
          </w:tcPr>
          <w:p w14:paraId="58D5900D">
            <w:pPr>
              <w:outlineLvl w:val="9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签字</w:t>
            </w:r>
          </w:p>
        </w:tc>
      </w:tr>
      <w:tr w14:paraId="5C9A2E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exact"/>
          <w:tblHeader/>
          <w:jc w:val="right"/>
        </w:trPr>
        <w:tc>
          <w:tcPr>
            <w:tcW w:w="1088" w:type="pct"/>
            <w:tcBorders>
              <w:left w:val="nil"/>
              <w:right w:val="nil"/>
            </w:tcBorders>
            <w:shd w:val="pct50" w:color="auto" w:fill="auto"/>
          </w:tcPr>
          <w:p w14:paraId="7CF3B00B">
            <w:pPr>
              <w:outlineLvl w:val="9"/>
              <w:rPr>
                <w:rFonts w:hint="eastAsia" w:asciiTheme="minorEastAsia" w:hAnsiTheme="minorEastAsia"/>
                <w:sz w:val="8"/>
              </w:rPr>
            </w:pPr>
          </w:p>
        </w:tc>
        <w:tc>
          <w:tcPr>
            <w:tcW w:w="906" w:type="pct"/>
            <w:tcBorders>
              <w:left w:val="nil"/>
              <w:right w:val="nil"/>
            </w:tcBorders>
            <w:shd w:val="pct50" w:color="auto" w:fill="auto"/>
          </w:tcPr>
          <w:p w14:paraId="2BB57E4C">
            <w:pPr>
              <w:outlineLvl w:val="9"/>
              <w:rPr>
                <w:rFonts w:hint="eastAsia" w:asciiTheme="minorEastAsia" w:hAnsiTheme="minorEastAsia"/>
                <w:sz w:val="8"/>
              </w:rPr>
            </w:pPr>
          </w:p>
        </w:tc>
        <w:tc>
          <w:tcPr>
            <w:tcW w:w="3004" w:type="pct"/>
            <w:tcBorders>
              <w:left w:val="nil"/>
              <w:right w:val="nil"/>
            </w:tcBorders>
            <w:shd w:val="pct50" w:color="auto" w:fill="auto"/>
          </w:tcPr>
          <w:p w14:paraId="6CBAFD74">
            <w:pPr>
              <w:outlineLvl w:val="9"/>
              <w:rPr>
                <w:rFonts w:hint="eastAsia" w:asciiTheme="minorEastAsia" w:hAnsiTheme="minorEastAsia"/>
                <w:sz w:val="8"/>
              </w:rPr>
            </w:pPr>
          </w:p>
        </w:tc>
      </w:tr>
      <w:tr w14:paraId="4ED452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right"/>
        </w:trPr>
        <w:tc>
          <w:tcPr>
            <w:tcW w:w="1088" w:type="pct"/>
            <w:tcBorders>
              <w:top w:val="nil"/>
            </w:tcBorders>
          </w:tcPr>
          <w:p w14:paraId="22021211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906" w:type="pct"/>
            <w:tcBorders>
              <w:top w:val="nil"/>
            </w:tcBorders>
          </w:tcPr>
          <w:p w14:paraId="447BD45E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3004" w:type="pct"/>
            <w:tcBorders>
              <w:top w:val="nil"/>
            </w:tcBorders>
          </w:tcPr>
          <w:p w14:paraId="5D8EEAD8">
            <w:pPr>
              <w:outlineLvl w:val="9"/>
              <w:rPr>
                <w:rFonts w:hint="eastAsia" w:asciiTheme="minorEastAsia" w:hAnsiTheme="minorEastAsia"/>
              </w:rPr>
            </w:pPr>
          </w:p>
        </w:tc>
      </w:tr>
      <w:tr w14:paraId="081BBF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right"/>
        </w:trPr>
        <w:tc>
          <w:tcPr>
            <w:tcW w:w="1088" w:type="pct"/>
          </w:tcPr>
          <w:p w14:paraId="426870DC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906" w:type="pct"/>
          </w:tcPr>
          <w:p w14:paraId="3BBE6ECE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3004" w:type="pct"/>
          </w:tcPr>
          <w:p w14:paraId="13ADA83C">
            <w:pPr>
              <w:outlineLvl w:val="9"/>
              <w:rPr>
                <w:rFonts w:hint="eastAsia" w:asciiTheme="minorEastAsia" w:hAnsiTheme="minorEastAsia"/>
              </w:rPr>
            </w:pPr>
          </w:p>
        </w:tc>
      </w:tr>
      <w:tr w14:paraId="75A93D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right"/>
        </w:trPr>
        <w:tc>
          <w:tcPr>
            <w:tcW w:w="1088" w:type="pct"/>
          </w:tcPr>
          <w:p w14:paraId="2B93D91C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906" w:type="pct"/>
          </w:tcPr>
          <w:p w14:paraId="61FCDB8A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3004" w:type="pct"/>
          </w:tcPr>
          <w:p w14:paraId="3C7F2B34">
            <w:pPr>
              <w:outlineLvl w:val="9"/>
              <w:rPr>
                <w:rFonts w:hint="eastAsia" w:asciiTheme="minorEastAsia" w:hAnsiTheme="minorEastAsia"/>
              </w:rPr>
            </w:pPr>
          </w:p>
        </w:tc>
      </w:tr>
    </w:tbl>
    <w:p w14:paraId="789E19DB">
      <w:pPr>
        <w:outlineLvl w:val="9"/>
        <w:rPr>
          <w:rFonts w:hint="eastAsia" w:asciiTheme="minorEastAsia" w:hAnsiTheme="minorEastAsia"/>
        </w:rPr>
      </w:pPr>
    </w:p>
    <w:p w14:paraId="6452CD49">
      <w:pPr>
        <w:outlineLvl w:val="9"/>
        <w:rPr>
          <w:rFonts w:hint="eastAsia" w:asciiTheme="minorEastAsia" w:hAnsiTheme="minorEastAsia"/>
        </w:rPr>
      </w:pPr>
    </w:p>
    <w:p w14:paraId="579A448E">
      <w:pPr>
        <w:outlineLvl w:val="9"/>
        <w:rPr>
          <w:rFonts w:hint="eastAsia" w:asciiTheme="minorEastAsia" w:hAnsiTheme="minorEastAsia"/>
          <w:b/>
        </w:rPr>
      </w:pPr>
      <w:bookmarkStart w:id="42" w:name="_Toc31126"/>
      <w:bookmarkStart w:id="43" w:name="_Toc170220805"/>
      <w:bookmarkStart w:id="44" w:name="_Toc169526029"/>
      <w:bookmarkStart w:id="45" w:name="_Toc22789"/>
      <w:bookmarkStart w:id="46" w:name="_Toc2095182561"/>
      <w:bookmarkStart w:id="47" w:name="_Toc169525940"/>
      <w:r>
        <w:rPr>
          <w:rFonts w:hint="eastAsia" w:asciiTheme="minorEastAsia" w:hAnsiTheme="minorEastAsia"/>
          <w:b/>
        </w:rPr>
        <w:t>分发</w:t>
      </w:r>
      <w:bookmarkEnd w:id="42"/>
      <w:bookmarkEnd w:id="43"/>
      <w:bookmarkEnd w:id="44"/>
      <w:bookmarkEnd w:id="45"/>
      <w:bookmarkEnd w:id="46"/>
      <w:bookmarkEnd w:id="47"/>
    </w:p>
    <w:p w14:paraId="5444F006">
      <w:pPr>
        <w:outlineLvl w:val="9"/>
        <w:rPr>
          <w:rFonts w:hint="eastAsia" w:asciiTheme="minorEastAsia" w:hAnsiTheme="minorEastAsia"/>
        </w:rPr>
      </w:pPr>
    </w:p>
    <w:tbl>
      <w:tblPr>
        <w:tblStyle w:val="28"/>
        <w:tblW w:w="4999" w:type="pct"/>
        <w:jc w:val="right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3606"/>
        <w:gridCol w:w="3606"/>
      </w:tblGrid>
      <w:tr w14:paraId="6B900F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right"/>
        </w:trPr>
        <w:tc>
          <w:tcPr>
            <w:tcW w:w="645" w:type="pct"/>
            <w:tcBorders>
              <w:bottom w:val="nil"/>
              <w:right w:val="nil"/>
            </w:tcBorders>
            <w:shd w:val="pct10" w:color="auto" w:fill="auto"/>
          </w:tcPr>
          <w:p w14:paraId="73B8FA5B">
            <w:pPr>
              <w:outlineLvl w:val="9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拷贝号</w:t>
            </w:r>
          </w:p>
        </w:tc>
        <w:tc>
          <w:tcPr>
            <w:tcW w:w="2177" w:type="pct"/>
            <w:tcBorders>
              <w:left w:val="nil"/>
              <w:bottom w:val="nil"/>
              <w:right w:val="nil"/>
            </w:tcBorders>
            <w:shd w:val="pct10" w:color="auto" w:fill="auto"/>
          </w:tcPr>
          <w:p w14:paraId="1A696FA5">
            <w:pPr>
              <w:outlineLvl w:val="9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名字</w:t>
            </w:r>
          </w:p>
        </w:tc>
        <w:tc>
          <w:tcPr>
            <w:tcW w:w="2177" w:type="pct"/>
            <w:tcBorders>
              <w:left w:val="nil"/>
              <w:bottom w:val="nil"/>
            </w:tcBorders>
            <w:shd w:val="pct10" w:color="auto" w:fill="auto"/>
          </w:tcPr>
          <w:p w14:paraId="59ECC6B6">
            <w:pPr>
              <w:outlineLvl w:val="9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区域</w:t>
            </w:r>
          </w:p>
        </w:tc>
      </w:tr>
      <w:tr w14:paraId="1E670A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exact"/>
          <w:tblHeader/>
          <w:jc w:val="right"/>
        </w:trPr>
        <w:tc>
          <w:tcPr>
            <w:tcW w:w="645" w:type="pct"/>
            <w:tcBorders>
              <w:left w:val="nil"/>
              <w:right w:val="nil"/>
            </w:tcBorders>
            <w:shd w:val="pct50" w:color="auto" w:fill="auto"/>
          </w:tcPr>
          <w:p w14:paraId="10B65EB4">
            <w:pPr>
              <w:outlineLvl w:val="9"/>
              <w:rPr>
                <w:rFonts w:hint="eastAsia" w:asciiTheme="minorEastAsia" w:hAnsiTheme="minorEastAsia"/>
                <w:sz w:val="8"/>
              </w:rPr>
            </w:pPr>
          </w:p>
        </w:tc>
        <w:tc>
          <w:tcPr>
            <w:tcW w:w="2177" w:type="pct"/>
            <w:tcBorders>
              <w:left w:val="nil"/>
              <w:right w:val="nil"/>
            </w:tcBorders>
            <w:shd w:val="pct50" w:color="auto" w:fill="auto"/>
          </w:tcPr>
          <w:p w14:paraId="3F5BE6CC">
            <w:pPr>
              <w:outlineLvl w:val="9"/>
              <w:rPr>
                <w:rFonts w:hint="eastAsia" w:asciiTheme="minorEastAsia" w:hAnsiTheme="minorEastAsia"/>
                <w:sz w:val="8"/>
              </w:rPr>
            </w:pPr>
          </w:p>
        </w:tc>
        <w:tc>
          <w:tcPr>
            <w:tcW w:w="2177" w:type="pct"/>
            <w:tcBorders>
              <w:left w:val="nil"/>
              <w:right w:val="nil"/>
            </w:tcBorders>
            <w:shd w:val="pct50" w:color="auto" w:fill="auto"/>
          </w:tcPr>
          <w:p w14:paraId="43B1FDEB">
            <w:pPr>
              <w:outlineLvl w:val="9"/>
              <w:rPr>
                <w:rFonts w:hint="eastAsia" w:asciiTheme="minorEastAsia" w:hAnsiTheme="minorEastAsia"/>
                <w:sz w:val="8"/>
              </w:rPr>
            </w:pPr>
          </w:p>
        </w:tc>
      </w:tr>
      <w:tr w14:paraId="500788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right"/>
        </w:trPr>
        <w:tc>
          <w:tcPr>
            <w:tcW w:w="645" w:type="pct"/>
          </w:tcPr>
          <w:p w14:paraId="71FB1FDF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2177" w:type="pct"/>
          </w:tcPr>
          <w:p w14:paraId="4A029018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2177" w:type="pct"/>
          </w:tcPr>
          <w:p w14:paraId="5F5EB9B7">
            <w:pPr>
              <w:outlineLvl w:val="9"/>
              <w:rPr>
                <w:rFonts w:hint="eastAsia" w:asciiTheme="minorEastAsia" w:hAnsiTheme="minorEastAsia"/>
              </w:rPr>
            </w:pPr>
          </w:p>
        </w:tc>
      </w:tr>
      <w:tr w14:paraId="6C0640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right"/>
        </w:trPr>
        <w:tc>
          <w:tcPr>
            <w:tcW w:w="645" w:type="pct"/>
          </w:tcPr>
          <w:p w14:paraId="4C1B130D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2177" w:type="pct"/>
          </w:tcPr>
          <w:p w14:paraId="45B6C877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2177" w:type="pct"/>
          </w:tcPr>
          <w:p w14:paraId="103568E8">
            <w:pPr>
              <w:outlineLvl w:val="9"/>
              <w:rPr>
                <w:rFonts w:hint="eastAsia" w:asciiTheme="minorEastAsia" w:hAnsiTheme="minorEastAsia"/>
              </w:rPr>
            </w:pPr>
          </w:p>
        </w:tc>
      </w:tr>
      <w:tr w14:paraId="084366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right"/>
        </w:trPr>
        <w:tc>
          <w:tcPr>
            <w:tcW w:w="645" w:type="pct"/>
          </w:tcPr>
          <w:p w14:paraId="46E2A5FC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2177" w:type="pct"/>
          </w:tcPr>
          <w:p w14:paraId="00068F4A">
            <w:pPr>
              <w:outlineLvl w:val="9"/>
              <w:rPr>
                <w:rFonts w:hint="eastAsia" w:asciiTheme="minorEastAsia" w:hAnsiTheme="minorEastAsia"/>
              </w:rPr>
            </w:pPr>
          </w:p>
        </w:tc>
        <w:tc>
          <w:tcPr>
            <w:tcW w:w="2177" w:type="pct"/>
          </w:tcPr>
          <w:p w14:paraId="16B3BC16">
            <w:pPr>
              <w:outlineLvl w:val="9"/>
              <w:rPr>
                <w:rFonts w:hint="eastAsia" w:asciiTheme="minorEastAsia" w:hAnsiTheme="minorEastAsia"/>
              </w:rPr>
            </w:pPr>
          </w:p>
        </w:tc>
      </w:tr>
    </w:tbl>
    <w:p w14:paraId="1CB82BA0">
      <w:pPr>
        <w:outlineLvl w:val="9"/>
        <w:rPr>
          <w:rFonts w:hint="eastAsia" w:asciiTheme="minorEastAsia" w:hAnsiTheme="minorEastAsia"/>
          <w:color w:val="262626"/>
        </w:rPr>
      </w:pPr>
    </w:p>
    <w:p w14:paraId="606E5B61">
      <w:pPr>
        <w:numPr>
          <w:ilvl w:val="0"/>
          <w:numId w:val="0"/>
        </w:numPr>
        <w:outlineLvl w:val="9"/>
        <w:rPr>
          <w:rFonts w:hint="eastAsia" w:asciiTheme="minorEastAsia" w:hAnsiTheme="minorEastAsia"/>
          <w:b w:val="0"/>
        </w:rPr>
      </w:pPr>
    </w:p>
    <w:p w14:paraId="04B48018">
      <w:pPr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br w:type="page"/>
      </w:r>
      <w:bookmarkStart w:id="121" w:name="_GoBack"/>
      <w:bookmarkEnd w:id="121"/>
    </w:p>
    <w:sdt>
      <w:sdtPr>
        <w:rPr>
          <w:rFonts w:asciiTheme="minorEastAsia" w:hAnsiTheme="minorEastAsia"/>
          <w:b/>
          <w:bCs/>
          <w:sz w:val="28"/>
          <w:szCs w:val="32"/>
        </w:rPr>
        <w:id w:val="147453984"/>
        <w15:color w:val="DBDBDB"/>
        <w:docPartObj>
          <w:docPartGallery w:val="Table of Contents"/>
          <w:docPartUnique/>
        </w:docPartObj>
      </w:sdtPr>
      <w:sdtEndPr>
        <w:rPr>
          <w:rFonts w:asciiTheme="minorEastAsia" w:hAnsiTheme="minorEastAsia"/>
          <w:b/>
          <w:bCs/>
          <w:sz w:val="28"/>
          <w:szCs w:val="32"/>
        </w:rPr>
      </w:sdtEndPr>
      <w:sdtContent>
        <w:p w14:paraId="1BA2C2C2">
          <w:pPr>
            <w:jc w:val="center"/>
            <w:rPr>
              <w:rFonts w:hint="eastAsia" w:asciiTheme="minorEastAsia" w:hAnsiTheme="minorEastAsia"/>
              <w:b/>
              <w:bCs/>
              <w:sz w:val="28"/>
              <w:szCs w:val="32"/>
            </w:rPr>
          </w:pPr>
          <w:r>
            <w:rPr>
              <w:rFonts w:asciiTheme="minorEastAsia" w:hAnsiTheme="minorEastAsia"/>
              <w:b/>
              <w:bCs/>
              <w:sz w:val="28"/>
              <w:szCs w:val="32"/>
            </w:rPr>
            <w:t>目</w:t>
          </w:r>
          <w:r>
            <w:rPr>
              <w:rFonts w:hint="eastAsia" w:asciiTheme="minorEastAsia" w:hAnsiTheme="minorEastAsia"/>
              <w:b/>
              <w:bCs/>
              <w:sz w:val="28"/>
              <w:szCs w:val="32"/>
              <w:lang w:val="en-US" w:eastAsia="zh-CN"/>
            </w:rPr>
            <w:t xml:space="preserve">  </w:t>
          </w:r>
          <w:r>
            <w:rPr>
              <w:rFonts w:asciiTheme="minorEastAsia" w:hAnsiTheme="minorEastAsia"/>
              <w:b/>
              <w:bCs/>
              <w:sz w:val="28"/>
              <w:szCs w:val="32"/>
            </w:rPr>
            <w:t>录</w:t>
          </w:r>
        </w:p>
        <w:p w14:paraId="6ECE875B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TOC \o "1-3" \h \u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_Toc27088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  <w:szCs w:val="28"/>
            </w:rPr>
            <w:t>1 项目简介</w:t>
          </w:r>
          <w:r>
            <w:tab/>
          </w:r>
          <w:r>
            <w:fldChar w:fldCharType="begin"/>
          </w:r>
          <w:r>
            <w:instrText xml:space="preserve"> PAGEREF _Toc27088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1685C174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_Toc10184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1.1 一层：</w:t>
          </w:r>
          <w:r>
            <w:tab/>
          </w:r>
          <w:r>
            <w:fldChar w:fldCharType="begin"/>
          </w:r>
          <w:r>
            <w:instrText xml:space="preserve"> PAGEREF _Toc10184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35661302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_Toc4377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1.2 </w:t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二层</w:t>
          </w:r>
          <w:r>
            <w:tab/>
          </w:r>
          <w:r>
            <w:fldChar w:fldCharType="begin"/>
          </w:r>
          <w:r>
            <w:instrText xml:space="preserve"> PAGEREF _Toc4377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28B06CE4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_Toc12650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2 项目范围</w:t>
          </w:r>
          <w:r>
            <w:tab/>
          </w:r>
          <w:r>
            <w:fldChar w:fldCharType="begin"/>
          </w:r>
          <w:r>
            <w:instrText xml:space="preserve"> PAGEREF _Toc12650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6D2AAAD9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_Toc10712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2.1 对接系统</w:t>
          </w:r>
          <w:r>
            <w:tab/>
          </w:r>
          <w:r>
            <w:fldChar w:fldCharType="begin"/>
          </w:r>
          <w:r>
            <w:instrText xml:space="preserve"> PAGEREF _Toc10712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26416E61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_Toc10722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2.2 效率指标</w:t>
          </w:r>
          <w:r>
            <w:tab/>
          </w:r>
          <w:r>
            <w:fldChar w:fldCharType="begin"/>
          </w:r>
          <w:r>
            <w:instrText xml:space="preserve"> PAGEREF _Toc10722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021B8562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_Toc19831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3 业务</w:t>
          </w:r>
          <w:r>
            <w:rPr>
              <w:rFonts w:hint="eastAsia" w:ascii="微软雅黑" w:hAnsi="微软雅黑" w:eastAsia="宋体" w:cs="Times New Roman"/>
              <w:szCs w:val="28"/>
              <w:lang w:val="en-US" w:eastAsia="zh-CN"/>
            </w:rPr>
            <w:t>流程</w:t>
          </w:r>
          <w:r>
            <w:tab/>
          </w:r>
          <w:r>
            <w:fldChar w:fldCharType="begin"/>
          </w:r>
          <w:r>
            <w:instrText xml:space="preserve"> PAGEREF _Toc19831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0EC52DDF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_Toc6284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3.1 托盘库入库交互流程</w:t>
          </w:r>
          <w:r>
            <w:tab/>
          </w:r>
          <w:r>
            <w:fldChar w:fldCharType="begin"/>
          </w:r>
          <w:r>
            <w:instrText xml:space="preserve"> PAGEREF _Toc6284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77E675DB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_Toc29436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kern w:val="2"/>
              <w:szCs w:val="24"/>
              <w:lang w:val="en-US" w:eastAsia="zh-CN" w:bidi="ar-SA"/>
            </w:rPr>
            <w:t>3.2 料箱库入库交互流程</w:t>
          </w:r>
          <w:r>
            <w:tab/>
          </w:r>
          <w:r>
            <w:fldChar w:fldCharType="begin"/>
          </w:r>
          <w:r>
            <w:instrText xml:space="preserve"> PAGEREF _Toc29436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6BF1418F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_Toc22798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kern w:val="2"/>
              <w:szCs w:val="24"/>
              <w:lang w:val="en-US" w:eastAsia="zh-CN" w:bidi="ar-SA"/>
            </w:rPr>
            <w:t>3.3 托盘库出库交互流程</w:t>
          </w:r>
          <w:r>
            <w:tab/>
          </w:r>
          <w:r>
            <w:fldChar w:fldCharType="begin"/>
          </w:r>
          <w:r>
            <w:instrText xml:space="preserve"> PAGEREF _Toc22798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D6C0316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_Toc3428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kern w:val="2"/>
              <w:szCs w:val="24"/>
              <w:lang w:val="en-US" w:eastAsia="zh-CN" w:bidi="ar-SA"/>
            </w:rPr>
            <w:t>3.4 料箱库出库交互流程</w:t>
          </w:r>
          <w:r>
            <w:tab/>
          </w:r>
          <w:r>
            <w:fldChar w:fldCharType="begin"/>
          </w:r>
          <w:r>
            <w:instrText xml:space="preserve"> PAGEREF _Toc3428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367A3F9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_Toc10418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4 软件系统架构</w:t>
          </w:r>
          <w:r>
            <w:tab/>
          </w:r>
          <w:r>
            <w:fldChar w:fldCharType="begin"/>
          </w:r>
          <w:r>
            <w:instrText xml:space="preserve"> PAGEREF _Toc10418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6B722714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_Toc10756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</w:rPr>
            <w:t>4.1 设计原则</w:t>
          </w:r>
          <w:r>
            <w:tab/>
          </w:r>
          <w:r>
            <w:fldChar w:fldCharType="begin"/>
          </w:r>
          <w:r>
            <w:instrText xml:space="preserve"> PAGEREF _Toc10756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3B5DF128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_Toc30666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</w:rPr>
            <w:t>4.2 关键词解释</w:t>
          </w:r>
          <w:r>
            <w:tab/>
          </w:r>
          <w:r>
            <w:fldChar w:fldCharType="begin"/>
          </w:r>
          <w:r>
            <w:instrText xml:space="preserve"> PAGEREF _Toc30666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6F7F1B61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_Toc30454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</w:rPr>
            <w:t>4.3 设计规范</w:t>
          </w:r>
          <w:r>
            <w:tab/>
          </w:r>
          <w:r>
            <w:fldChar w:fldCharType="begin"/>
          </w:r>
          <w:r>
            <w:instrText xml:space="preserve"> PAGEREF _Toc30454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5E020560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_Toc26347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</w:rPr>
            <w:t>4.4 总体设计规划</w:t>
          </w:r>
          <w:r>
            <w:tab/>
          </w:r>
          <w:r>
            <w:fldChar w:fldCharType="begin"/>
          </w:r>
          <w:r>
            <w:instrText xml:space="preserve"> PAGEREF _Toc26347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24073F75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_Toc6609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/>
            </w:rPr>
            <w:t>4.4.1 系统技术架构</w:t>
          </w:r>
          <w:r>
            <w:tab/>
          </w:r>
          <w:r>
            <w:fldChar w:fldCharType="begin"/>
          </w:r>
          <w:r>
            <w:instrText xml:space="preserve"> PAGEREF _Toc6609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0DD4C729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_Toc22335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/>
            </w:rPr>
            <w:t>4.4.2 系统集成设计</w:t>
          </w:r>
          <w:r>
            <w:tab/>
          </w:r>
          <w:r>
            <w:fldChar w:fldCharType="begin"/>
          </w:r>
          <w:r>
            <w:instrText xml:space="preserve"> PAGEREF _Toc22335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2C316424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_Toc16704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4.5 系统功能范围</w:t>
          </w:r>
          <w:r>
            <w:tab/>
          </w:r>
          <w:r>
            <w:fldChar w:fldCharType="begin"/>
          </w:r>
          <w:r>
            <w:instrText xml:space="preserve"> PAGEREF _Toc16704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220CF6DE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_Toc28234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 xml:space="preserve">4.5.1 </w:t>
          </w:r>
          <w:r>
            <w:t>WMS系统功能清单</w:t>
          </w:r>
          <w:r>
            <w:tab/>
          </w:r>
          <w:r>
            <w:fldChar w:fldCharType="begin"/>
          </w:r>
          <w:r>
            <w:instrText xml:space="preserve"> PAGEREF _Toc28234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B5643A9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_Toc28726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/>
            </w:rPr>
            <w:t xml:space="preserve">4.5.2 </w:t>
          </w:r>
          <w:r>
            <w:t>WCS系统功能清单</w:t>
          </w:r>
          <w:r>
            <w:tab/>
          </w:r>
          <w:r>
            <w:fldChar w:fldCharType="begin"/>
          </w:r>
          <w:r>
            <w:instrText xml:space="preserve"> PAGEREF _Toc28726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1E6C9BB2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_Toc12487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5 接口示例</w:t>
          </w:r>
          <w:r>
            <w:tab/>
          </w:r>
          <w:r>
            <w:fldChar w:fldCharType="begin"/>
          </w:r>
          <w:r>
            <w:instrText xml:space="preserve"> PAGEREF _Toc12487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601B48D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_Toc14281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6 接口清单</w:t>
          </w:r>
          <w:r>
            <w:tab/>
          </w:r>
          <w:r>
            <w:fldChar w:fldCharType="begin"/>
          </w:r>
          <w:r>
            <w:instrText xml:space="preserve"> PAGEREF _Toc14281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5574FEF9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_Toc13711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 xml:space="preserve">6.1 </w:t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XXX接口</w:t>
          </w:r>
          <w:r>
            <w:tab/>
          </w:r>
          <w:r>
            <w:fldChar w:fldCharType="begin"/>
          </w:r>
          <w:r>
            <w:instrText xml:space="preserve"> PAGEREF _Toc13711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1E11CAFC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_Toc32009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6.2 XXX接口</w:t>
          </w:r>
          <w:r>
            <w:tab/>
          </w:r>
          <w:r>
            <w:fldChar w:fldCharType="begin"/>
          </w:r>
          <w:r>
            <w:instrText xml:space="preserve"> PAGEREF _Toc32009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31A31B64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_Toc14509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7 系统</w:t>
          </w:r>
          <w:r>
            <w:rPr>
              <w:rFonts w:hint="eastAsia" w:ascii="微软雅黑" w:hAnsi="微软雅黑" w:eastAsia="宋体" w:cs="Times New Roman"/>
              <w:szCs w:val="28"/>
              <w:lang w:val="en-US" w:eastAsia="zh-CN"/>
            </w:rPr>
            <w:t>介绍</w:t>
          </w:r>
          <w:r>
            <w:tab/>
          </w:r>
          <w:r>
            <w:fldChar w:fldCharType="begin"/>
          </w:r>
          <w:r>
            <w:instrText xml:space="preserve"> PAGEREF _Toc14509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6F07F1D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_Toc4670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 xml:space="preserve">7.1 </w:t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WMS</w:t>
          </w:r>
          <w:r>
            <w:rPr>
              <w:rFonts w:hint="eastAsia" w:ascii="微软雅黑" w:hAnsi="微软雅黑" w:eastAsia="宋体" w:cs="Times New Roman"/>
              <w:szCs w:val="24"/>
            </w:rPr>
            <w:t>系统</w:t>
          </w:r>
          <w:r>
            <w:tab/>
          </w:r>
          <w:r>
            <w:fldChar w:fldCharType="begin"/>
          </w:r>
          <w:r>
            <w:instrText xml:space="preserve"> PAGEREF _Toc4670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724E5B43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_Toc22531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7.1.1 系统概述</w:t>
          </w:r>
          <w:r>
            <w:tab/>
          </w:r>
          <w:r>
            <w:fldChar w:fldCharType="begin"/>
          </w:r>
          <w:r>
            <w:instrText xml:space="preserve"> PAGEREF _Toc22531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7D9D6A2B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_Toc26489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7.1.2 系统界面</w:t>
          </w:r>
          <w:r>
            <w:tab/>
          </w:r>
          <w:r>
            <w:fldChar w:fldCharType="begin"/>
          </w:r>
          <w:r>
            <w:instrText xml:space="preserve"> PAGEREF _Toc26489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54A3E1A4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_Toc20020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 xml:space="preserve">7.2 </w:t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WCS</w:t>
          </w:r>
          <w:r>
            <w:rPr>
              <w:rFonts w:hint="eastAsia" w:ascii="微软雅黑" w:hAnsi="微软雅黑" w:eastAsia="宋体" w:cs="Times New Roman"/>
              <w:szCs w:val="24"/>
            </w:rPr>
            <w:t>系统</w:t>
          </w:r>
          <w:r>
            <w:tab/>
          </w:r>
          <w:r>
            <w:fldChar w:fldCharType="begin"/>
          </w:r>
          <w:r>
            <w:instrText xml:space="preserve"> PAGEREF _Toc20020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321008AA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_Toc29795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7.2.1 系统概述</w:t>
          </w:r>
          <w:r>
            <w:tab/>
          </w:r>
          <w:r>
            <w:fldChar w:fldCharType="begin"/>
          </w:r>
          <w:r>
            <w:instrText xml:space="preserve"> PAGEREF _Toc29795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8549F1D">
          <w:pPr>
            <w:pStyle w:val="15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_Toc26020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>7.2.2 系统界面</w:t>
          </w:r>
          <w:r>
            <w:tab/>
          </w:r>
          <w:r>
            <w:fldChar w:fldCharType="begin"/>
          </w:r>
          <w:r>
            <w:instrText xml:space="preserve"> PAGEREF _Toc26020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2CB75654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_Toc19873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8 服务器要求</w:t>
          </w:r>
          <w:r>
            <w:tab/>
          </w:r>
          <w:r>
            <w:fldChar w:fldCharType="begin"/>
          </w:r>
          <w:r>
            <w:instrText xml:space="preserve"> PAGEREF _Toc19873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32344E35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_Toc27866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</w:rPr>
            <w:t xml:space="preserve">8.1 </w:t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WCS</w:t>
          </w:r>
          <w:r>
            <w:rPr>
              <w:rFonts w:hint="eastAsia" w:ascii="微软雅黑" w:hAnsi="微软雅黑" w:eastAsia="宋体" w:cs="Times New Roman"/>
              <w:szCs w:val="24"/>
            </w:rPr>
            <w:t>服务器要求</w:t>
          </w:r>
          <w:r>
            <w:tab/>
          </w:r>
          <w:r>
            <w:fldChar w:fldCharType="begin"/>
          </w:r>
          <w:r>
            <w:instrText xml:space="preserve"> PAGEREF _Toc27866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6E8A72AB">
          <w:pPr>
            <w:pStyle w:val="23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_Toc10831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4"/>
              <w:lang w:val="en-US" w:eastAsia="zh-CN"/>
            </w:rPr>
            <w:t>8.2 机房要求</w:t>
          </w:r>
          <w:r>
            <w:tab/>
          </w:r>
          <w:r>
            <w:fldChar w:fldCharType="begin"/>
          </w:r>
          <w:r>
            <w:instrText xml:space="preserve"> PAGEREF _Toc10831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501C7553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_Toc32386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9 电视看板要求</w:t>
          </w:r>
          <w:r>
            <w:tab/>
          </w:r>
          <w:r>
            <w:fldChar w:fldCharType="begin"/>
          </w:r>
          <w:r>
            <w:instrText xml:space="preserve"> PAGEREF _Toc32386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1BA1A4E6">
          <w:pPr>
            <w:pStyle w:val="20"/>
            <w:tabs>
              <w:tab w:val="right" w:leader="dot" w:pos="8312"/>
            </w:tabs>
          </w:pPr>
          <w:r>
            <w:rPr>
              <w:rFonts w:asciiTheme="minorEastAsia" w:hAnsiTheme="minorEastAsia"/>
            </w:rPr>
            <w:fldChar w:fldCharType="begin"/>
          </w:r>
          <w:r>
            <w:rPr>
              <w:rFonts w:asciiTheme="minorEastAsia" w:hAnsiTheme="minorEastAsia"/>
            </w:rPr>
            <w:instrText xml:space="preserve"> HYPERLINK \l _Toc606 </w:instrText>
          </w:r>
          <w:r>
            <w:rPr>
              <w:rFonts w:asciiTheme="minorEastAsia" w:hAnsiTheme="minorEastAsia"/>
            </w:rPr>
            <w:fldChar w:fldCharType="separate"/>
          </w:r>
          <w:r>
            <w:rPr>
              <w:rFonts w:hint="eastAsia" w:ascii="微软雅黑" w:hAnsi="微软雅黑" w:eastAsia="宋体" w:cs="Times New Roman"/>
              <w:szCs w:val="28"/>
            </w:rPr>
            <w:t>10 文件签字栏</w:t>
          </w:r>
          <w:r>
            <w:tab/>
          </w:r>
          <w:r>
            <w:fldChar w:fldCharType="begin"/>
          </w:r>
          <w:r>
            <w:instrText xml:space="preserve"> PAGEREF _Toc606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asciiTheme="minorEastAsia" w:hAnsiTheme="minorEastAsia"/>
            </w:rPr>
            <w:fldChar w:fldCharType="end"/>
          </w:r>
        </w:p>
        <w:p w14:paraId="40035CD3">
          <w:pPr>
            <w:rPr>
              <w:rFonts w:hint="eastAsia" w:asciiTheme="minorEastAsia" w:hAnsiTheme="minorEastAsia"/>
            </w:rPr>
          </w:pPr>
          <w:r>
            <w:rPr>
              <w:rFonts w:asciiTheme="minorEastAsia" w:hAnsiTheme="minorEastAsia"/>
            </w:rPr>
            <w:fldChar w:fldCharType="end"/>
          </w:r>
        </w:p>
      </w:sdtContent>
    </w:sdt>
    <w:p w14:paraId="5C0CDEB8">
      <w:pPr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br w:type="page"/>
      </w:r>
    </w:p>
    <w:p w14:paraId="638D8BF4">
      <w:pPr>
        <w:widowControl/>
        <w:numPr>
          <w:ilvl w:val="0"/>
          <w:numId w:val="3"/>
        </w:numPr>
        <w:tabs>
          <w:tab w:val="left" w:pos="525"/>
        </w:tabs>
        <w:adjustRightInd w:val="0"/>
        <w:spacing w:before="156" w:beforeLines="50" w:line="360" w:lineRule="auto"/>
        <w:ind w:left="0" w:firstLine="0"/>
        <w:jc w:val="left"/>
        <w:outlineLvl w:val="0"/>
        <w:rPr>
          <w:rFonts w:hint="eastAsia"/>
          <w:b/>
          <w:sz w:val="28"/>
          <w:szCs w:val="28"/>
        </w:rPr>
      </w:pPr>
      <w:bookmarkStart w:id="48" w:name="_Toc20544"/>
      <w:bookmarkStart w:id="49" w:name="_Toc27088"/>
      <w:bookmarkStart w:id="50" w:name="_Toc132757135"/>
      <w:bookmarkStart w:id="51" w:name="heading_4"/>
      <w:r>
        <w:rPr>
          <w:rFonts w:hint="eastAsia"/>
          <w:b/>
          <w:sz w:val="28"/>
          <w:szCs w:val="28"/>
        </w:rPr>
        <w:t>项目简介</w:t>
      </w:r>
      <w:bookmarkEnd w:id="48"/>
      <w:bookmarkEnd w:id="49"/>
    </w:p>
    <w:p w14:paraId="71FFCDA0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default" w:ascii="微软雅黑" w:hAnsi="微软雅黑" w:eastAsia="宋体" w:cs="Times New Roman"/>
          <w:b/>
          <w:sz w:val="24"/>
          <w:szCs w:val="24"/>
          <w:lang w:val="en-US" w:eastAsia="zh-CN"/>
        </w:rPr>
      </w:pPr>
      <w:bookmarkStart w:id="52" w:name="_Toc10184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一层：</w:t>
      </w:r>
      <w:bookmarkEnd w:id="52"/>
    </w:p>
    <w:p w14:paraId="1D5C0E6D">
      <w:pPr>
        <w:numPr>
          <w:numId w:val="0"/>
        </w:numPr>
        <w:spacing w:line="360" w:lineRule="auto"/>
        <w:ind w:leftChars="200"/>
        <w:contextualSpacing/>
      </w:pPr>
      <w:r>
        <w:rPr>
          <w:rFonts w:hint="eastAsia"/>
          <w:szCs w:val="21"/>
          <w:lang w:val="en-US" w:eastAsia="zh-CN"/>
        </w:rPr>
        <w:drawing>
          <wp:inline distT="0" distB="0" distL="114300" distR="114300">
            <wp:extent cx="5302885" cy="2787015"/>
            <wp:effectExtent l="0" t="0" r="12065" b="1333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79222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default"/>
          <w:lang w:val="en-US" w:eastAsia="zh-CN"/>
        </w:rPr>
      </w:pPr>
      <w:bookmarkStart w:id="53" w:name="_Toc4377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二层</w:t>
      </w:r>
      <w:bookmarkEnd w:id="53"/>
    </w:p>
    <w:p w14:paraId="39FA22F6">
      <w:pPr>
        <w:numPr>
          <w:ilvl w:val="0"/>
          <w:numId w:val="0"/>
        </w:numPr>
        <w:spacing w:line="360" w:lineRule="auto"/>
        <w:ind w:leftChars="200"/>
        <w:contextualSpacing/>
        <w:rPr>
          <w:rFonts w:hint="default"/>
          <w:lang w:val="en-US" w:eastAsia="zh-CN"/>
        </w:rPr>
      </w:pPr>
      <w:r>
        <w:rPr>
          <w:rFonts w:hint="eastAsia"/>
          <w:szCs w:val="21"/>
          <w:lang w:val="en-US" w:eastAsia="zh-CN"/>
        </w:rPr>
        <w:drawing>
          <wp:inline distT="0" distB="0" distL="114300" distR="114300">
            <wp:extent cx="5288280" cy="2451100"/>
            <wp:effectExtent l="0" t="0" r="762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C16BD">
      <w:pPr>
        <w:numPr>
          <w:ilvl w:val="1"/>
          <w:numId w:val="4"/>
        </w:numPr>
        <w:spacing w:line="360" w:lineRule="auto"/>
        <w:ind w:left="420" w:leftChars="0" w:firstLine="420" w:firstLineChars="200"/>
        <w:contextualSpacing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/>
          <w:szCs w:val="21"/>
        </w:rPr>
        <w:t>本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项目共有2个立体库。分别为堆垛机托盘库，穿梭车料箱库。</w:t>
      </w:r>
    </w:p>
    <w:p w14:paraId="788C1EB3">
      <w:pPr>
        <w:numPr>
          <w:ilvl w:val="1"/>
          <w:numId w:val="4"/>
        </w:numPr>
        <w:spacing w:line="360" w:lineRule="auto"/>
        <w:ind w:left="420" w:leftChars="0" w:firstLine="420" w:firstLineChars="200"/>
        <w:contextualSpacing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堆垛机托盘库：库位分为高货位，低货位。其中高货位尺寸1200*1200*960mm,7排19列3层399个库位，低货位尺寸1200*1200*760mm，7排19列13层1729个库位。共计2128个库位。单托最大承重1500KG，存在一托多物，托盘标贴在托盘指定位置，物料标贴在包装单位上(箱/盒...)。</w:t>
      </w:r>
    </w:p>
    <w:p w14:paraId="67818CAC">
      <w:pPr>
        <w:numPr>
          <w:ilvl w:val="1"/>
          <w:numId w:val="4"/>
        </w:numPr>
        <w:spacing w:line="360" w:lineRule="auto"/>
        <w:ind w:left="420" w:leftChars="0" w:firstLine="420" w:firstLineChars="200"/>
        <w:contextualSpacing/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2个巷道，2台堆垛机。物流出入口分为上下2层，1层有4个双向出入口(可入可出)，2层有2个双向出入口(可入可出)。</w:t>
      </w:r>
    </w:p>
    <w:p w14:paraId="5CD79CD8">
      <w:pPr>
        <w:numPr>
          <w:ilvl w:val="1"/>
          <w:numId w:val="4"/>
        </w:numPr>
        <w:spacing w:line="360" w:lineRule="auto"/>
        <w:ind w:left="420" w:leftChars="0" w:firstLine="420" w:firstLineChars="200"/>
        <w:contextualSpacing/>
        <w:rPr>
          <w:rFonts w:hint="eastAsia"/>
          <w:color w:val="FF0000"/>
          <w:szCs w:val="21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穿梭车料箱库：</w:t>
      </w:r>
      <w:r>
        <w:rPr>
          <w:rFonts w:hint="eastAsia"/>
          <w:szCs w:val="21"/>
          <w:lang w:val="en-US" w:eastAsia="zh-CN"/>
        </w:rPr>
        <w:t>8排69列40层共计22080个库位</w:t>
      </w:r>
      <w:r>
        <w:rPr>
          <w:rFonts w:hint="eastAsia"/>
          <w:szCs w:val="21"/>
        </w:rPr>
        <w:t>。</w:t>
      </w:r>
      <w:r>
        <w:rPr>
          <w:rFonts w:hint="eastAsia"/>
          <w:szCs w:val="21"/>
          <w:lang w:val="en-US" w:eastAsia="zh-CN"/>
        </w:rPr>
        <w:t>料箱尺寸为：600*400*280mm,单箱最大承重50KG。一箱一物，料箱标贴在料箱外则，物料标贴在料箱内则。</w:t>
      </w:r>
    </w:p>
    <w:p w14:paraId="0FB013C7">
      <w:pPr>
        <w:numPr>
          <w:ilvl w:val="0"/>
          <w:numId w:val="0"/>
        </w:numPr>
        <w:spacing w:line="360" w:lineRule="auto"/>
        <w:ind w:left="840" w:leftChars="400" w:firstLine="420" w:firstLineChars="0"/>
        <w:contextualSpacing/>
        <w:rPr>
          <w:rFonts w:hint="eastAsia" w:ascii="微软雅黑" w:hAnsi="微软雅黑" w:eastAsia="宋体" w:cs="Times New Roman"/>
          <w:b/>
          <w:sz w:val="28"/>
          <w:szCs w:val="28"/>
        </w:rPr>
      </w:pPr>
      <w:r>
        <w:rPr>
          <w:rFonts w:hint="eastAsia"/>
          <w:szCs w:val="21"/>
          <w:lang w:val="en-US" w:eastAsia="zh-CN"/>
        </w:rPr>
        <w:t>12台穿梭车。物流出入口分为上下2层，1层有4个双向出入口(可入可出)，2层为2个双向出入口(可入可出)。</w:t>
      </w:r>
    </w:p>
    <w:p w14:paraId="17579E72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54" w:name="_Toc12650"/>
      <w:r>
        <w:rPr>
          <w:rFonts w:hint="eastAsia" w:ascii="微软雅黑" w:hAnsi="微软雅黑" w:eastAsia="宋体" w:cs="Times New Roman"/>
          <w:b/>
          <w:sz w:val="28"/>
          <w:szCs w:val="28"/>
        </w:rPr>
        <w:t>项目范围</w:t>
      </w:r>
      <w:bookmarkEnd w:id="50"/>
      <w:bookmarkEnd w:id="51"/>
      <w:bookmarkEnd w:id="54"/>
    </w:p>
    <w:p w14:paraId="5DFB5CDB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55" w:name="_Toc1928706002"/>
      <w:bookmarkStart w:id="56" w:name="heading_6"/>
      <w:bookmarkStart w:id="57" w:name="_Toc10712"/>
      <w:r>
        <w:rPr>
          <w:rFonts w:hint="eastAsia" w:ascii="微软雅黑" w:hAnsi="微软雅黑" w:eastAsia="宋体" w:cs="Times New Roman"/>
          <w:b/>
          <w:sz w:val="24"/>
          <w:szCs w:val="24"/>
        </w:rPr>
        <w:t>对接系统</w:t>
      </w:r>
      <w:bookmarkEnd w:id="55"/>
      <w:bookmarkEnd w:id="56"/>
      <w:bookmarkEnd w:id="57"/>
    </w:p>
    <w:p w14:paraId="2E7D1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Cs w:val="21"/>
          <w:lang w:val="en-US" w:eastAsia="zh-CN"/>
        </w:rPr>
        <w:t>上游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ERP系统，后续文件统一简称：ERP</w:t>
      </w:r>
    </w:p>
    <w:p w14:paraId="0F261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下游堆垛机、穿梭车（RCS）。</w:t>
      </w:r>
    </w:p>
    <w:p w14:paraId="446AA992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58" w:name="_Toc1643607796"/>
      <w:bookmarkStart w:id="59" w:name="heading_7"/>
      <w:bookmarkStart w:id="60" w:name="_Toc10722"/>
      <w:r>
        <w:rPr>
          <w:rFonts w:hint="eastAsia" w:ascii="微软雅黑" w:hAnsi="微软雅黑" w:eastAsia="宋体" w:cs="Times New Roman"/>
          <w:b/>
          <w:sz w:val="24"/>
          <w:szCs w:val="24"/>
        </w:rPr>
        <w:t>效率指标</w:t>
      </w:r>
      <w:bookmarkEnd w:id="58"/>
      <w:bookmarkEnd w:id="59"/>
      <w:bookmarkEnd w:id="60"/>
    </w:p>
    <w:p w14:paraId="4AF81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Cs w:val="21"/>
          <w:lang w:val="en-US" w:eastAsia="zh-CN"/>
        </w:rPr>
        <w:t>无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（软件效率为即时执行）</w:t>
      </w:r>
    </w:p>
    <w:p w14:paraId="608A04F6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61" w:name="_Toc739870652"/>
      <w:bookmarkStart w:id="62" w:name="_Toc19831"/>
      <w:r>
        <w:rPr>
          <w:rFonts w:hint="eastAsia" w:ascii="微软雅黑" w:hAnsi="微软雅黑" w:eastAsia="宋体" w:cs="Times New Roman"/>
          <w:b/>
          <w:sz w:val="28"/>
          <w:szCs w:val="28"/>
        </w:rPr>
        <w:t>业务</w:t>
      </w:r>
      <w:r>
        <w:rPr>
          <w:rFonts w:hint="eastAsia" w:ascii="微软雅黑" w:hAnsi="微软雅黑" w:eastAsia="宋体" w:cs="Times New Roman"/>
          <w:b/>
          <w:sz w:val="28"/>
          <w:szCs w:val="28"/>
          <w:lang w:val="en-US" w:eastAsia="zh-CN"/>
        </w:rPr>
        <w:t>流程</w:t>
      </w:r>
      <w:bookmarkEnd w:id="61"/>
      <w:bookmarkEnd w:id="62"/>
    </w:p>
    <w:p w14:paraId="59968AB6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</w:pPr>
      <w:bookmarkStart w:id="63" w:name="_Toc6284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托盘库入库交互流程</w:t>
      </w:r>
      <w:bookmarkEnd w:id="63"/>
    </w:p>
    <w:p w14:paraId="10C58EC8">
      <w:pPr>
        <w:rPr>
          <w:rFonts w:hint="eastAsia"/>
          <w:lang w:val="en-US" w:eastAsia="zh-CN"/>
        </w:rPr>
      </w:pPr>
    </w:p>
    <w:p w14:paraId="54C20CC3">
      <w:pP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</w:pPr>
      <w:r>
        <w:drawing>
          <wp:inline distT="0" distB="0" distL="114300" distR="114300">
            <wp:extent cx="6309995" cy="5354955"/>
            <wp:effectExtent l="0" t="0" r="14605" b="1714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9995" cy="535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br w:type="page"/>
      </w:r>
    </w:p>
    <w:p w14:paraId="036DE033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kern w:val="2"/>
          <w:sz w:val="24"/>
          <w:szCs w:val="24"/>
          <w:lang w:val="en-US" w:eastAsia="zh-CN" w:bidi="ar-SA"/>
        </w:rPr>
      </w:pPr>
      <w:bookmarkStart w:id="64" w:name="_Toc29436"/>
      <w:bookmarkStart w:id="65" w:name="_Toc1479956696"/>
      <w:r>
        <w:rPr>
          <w:rFonts w:hint="eastAsia" w:ascii="微软雅黑" w:hAnsi="微软雅黑" w:eastAsia="宋体" w:cs="Times New Roman"/>
          <w:b/>
          <w:kern w:val="2"/>
          <w:sz w:val="24"/>
          <w:szCs w:val="24"/>
          <w:lang w:val="en-US" w:eastAsia="zh-CN" w:bidi="ar-SA"/>
        </w:rPr>
        <w:t>料箱库入库交互流程</w:t>
      </w:r>
      <w:bookmarkEnd w:id="64"/>
    </w:p>
    <w:p w14:paraId="16BA675E">
      <w:pPr>
        <w:widowControl/>
        <w:numPr>
          <w:ilvl w:val="0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Chars="0"/>
        <w:jc w:val="left"/>
        <w:outlineLvl w:val="9"/>
      </w:pPr>
      <w:r>
        <w:drawing>
          <wp:inline distT="0" distB="0" distL="114300" distR="114300">
            <wp:extent cx="5267960" cy="3698240"/>
            <wp:effectExtent l="0" t="0" r="8890" b="1651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EA19D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default" w:ascii="微软雅黑" w:hAnsi="微软雅黑" w:eastAsia="宋体" w:cs="Times New Roman"/>
          <w:b/>
          <w:kern w:val="2"/>
          <w:sz w:val="24"/>
          <w:szCs w:val="24"/>
          <w:lang w:val="en-US" w:eastAsia="zh-CN" w:bidi="ar-SA"/>
        </w:rPr>
      </w:pPr>
      <w:bookmarkStart w:id="66" w:name="_Toc22798"/>
      <w:r>
        <w:rPr>
          <w:rFonts w:hint="eastAsia" w:ascii="微软雅黑" w:hAnsi="微软雅黑" w:eastAsia="宋体" w:cs="Times New Roman"/>
          <w:b/>
          <w:kern w:val="2"/>
          <w:sz w:val="24"/>
          <w:szCs w:val="24"/>
          <w:lang w:val="en-US" w:eastAsia="zh-CN" w:bidi="ar-SA"/>
        </w:rPr>
        <w:t>托盘库出库交互流程</w:t>
      </w:r>
      <w:bookmarkEnd w:id="66"/>
    </w:p>
    <w:p w14:paraId="7EAAC6A6">
      <w:pPr>
        <w:widowControl/>
        <w:numPr>
          <w:ilvl w:val="0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Chars="0"/>
        <w:jc w:val="left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4859020"/>
            <wp:effectExtent l="0" t="0" r="4445" b="1778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85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F9095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default" w:ascii="微软雅黑" w:hAnsi="微软雅黑" w:eastAsia="宋体" w:cs="Times New Roman"/>
          <w:b/>
          <w:kern w:val="2"/>
          <w:sz w:val="24"/>
          <w:szCs w:val="24"/>
          <w:lang w:val="en-US" w:eastAsia="zh-CN" w:bidi="ar-SA"/>
        </w:rPr>
      </w:pPr>
      <w:bookmarkStart w:id="67" w:name="_Toc3428"/>
      <w:r>
        <w:rPr>
          <w:rFonts w:hint="eastAsia" w:ascii="微软雅黑" w:hAnsi="微软雅黑" w:eastAsia="宋体" w:cs="Times New Roman"/>
          <w:b/>
          <w:kern w:val="2"/>
          <w:sz w:val="24"/>
          <w:szCs w:val="24"/>
          <w:lang w:val="en-US" w:eastAsia="zh-CN" w:bidi="ar-SA"/>
        </w:rPr>
        <w:t>料箱库出库交互流程</w:t>
      </w:r>
      <w:bookmarkEnd w:id="67"/>
    </w:p>
    <w:p w14:paraId="5ADD7091">
      <w:pPr>
        <w:widowControl/>
        <w:numPr>
          <w:ilvl w:val="0"/>
          <w:numId w:val="0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Chars="0"/>
        <w:jc w:val="left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6215" cy="4979670"/>
            <wp:effectExtent l="0" t="0" r="635" b="1143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4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AA3FC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68" w:name="_Toc10418"/>
      <w:r>
        <w:rPr>
          <w:rFonts w:hint="eastAsia" w:ascii="微软雅黑" w:hAnsi="微软雅黑" w:eastAsia="宋体" w:cs="Times New Roman"/>
          <w:b/>
          <w:sz w:val="28"/>
          <w:szCs w:val="28"/>
        </w:rPr>
        <w:t>软件系统架构</w:t>
      </w:r>
      <w:bookmarkEnd w:id="65"/>
      <w:bookmarkEnd w:id="68"/>
    </w:p>
    <w:p w14:paraId="723DE764">
      <w:pPr>
        <w:widowControl/>
        <w:numPr>
          <w:ilvl w:val="1"/>
          <w:numId w:val="3"/>
        </w:numPr>
        <w:tabs>
          <w:tab w:val="left" w:pos="735"/>
        </w:tabs>
        <w:adjustRightInd w:val="0"/>
        <w:spacing w:before="156" w:beforeLines="50" w:line="360" w:lineRule="auto"/>
        <w:ind w:left="105" w:leftChars="50" w:firstLine="0"/>
        <w:jc w:val="left"/>
        <w:outlineLvl w:val="1"/>
        <w:rPr>
          <w:rFonts w:hint="eastAsia"/>
          <w:b/>
          <w:sz w:val="24"/>
        </w:rPr>
      </w:pPr>
      <w:bookmarkStart w:id="69" w:name="_Toc7203"/>
      <w:bookmarkStart w:id="70" w:name="_Toc10756"/>
      <w:bookmarkStart w:id="71" w:name="_Toc248628876"/>
      <w:r>
        <w:rPr>
          <w:rFonts w:hint="eastAsia"/>
          <w:b/>
          <w:sz w:val="24"/>
        </w:rPr>
        <w:t>设计原则</w:t>
      </w:r>
      <w:bookmarkEnd w:id="69"/>
      <w:bookmarkEnd w:id="70"/>
    </w:p>
    <w:p w14:paraId="7FBC715F">
      <w:pPr>
        <w:adjustRightIn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根据</w:t>
      </w:r>
      <w:r>
        <w:rPr>
          <w:rFonts w:hint="eastAsia"/>
          <w:szCs w:val="21"/>
        </w:rPr>
        <w:t>所收集到</w:t>
      </w:r>
      <w:r>
        <w:rPr>
          <w:szCs w:val="21"/>
        </w:rPr>
        <w:t>的</w:t>
      </w:r>
      <w:r>
        <w:rPr>
          <w:rFonts w:hint="eastAsia"/>
          <w:szCs w:val="21"/>
        </w:rPr>
        <w:t>客户需求以及</w:t>
      </w:r>
      <w:r>
        <w:rPr>
          <w:szCs w:val="21"/>
        </w:rPr>
        <w:t>技术要求，结合我司多年来实施</w:t>
      </w:r>
      <w:r>
        <w:rPr>
          <w:rFonts w:hint="eastAsia"/>
          <w:szCs w:val="21"/>
        </w:rPr>
        <w:t>仓储</w:t>
      </w:r>
      <w:r>
        <w:rPr>
          <w:szCs w:val="21"/>
        </w:rPr>
        <w:t>物流管理系统的经验，在进行系统设计时遵循以下原则：</w:t>
      </w:r>
    </w:p>
    <w:p w14:paraId="26A424E2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统一设计原则：统筹规划和统一设计系统结构。</w:t>
      </w:r>
    </w:p>
    <w:p w14:paraId="61ECD813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先进性原则：系统构成采用成熟并符合国际发展趋势的技术、软件产品和设备。</w:t>
      </w:r>
    </w:p>
    <w:p w14:paraId="4E89082D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高可靠安全性原则：系统设计和数据架构设计中充分考虑系统的安全和可靠。</w:t>
      </w:r>
    </w:p>
    <w:p w14:paraId="10BB5286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标准化原则：建立共同遵统一标准的数据系统，支持业务开展、横向的信息扩展和宏观管理的要求。</w:t>
      </w:r>
    </w:p>
    <w:p w14:paraId="20698CCA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成熟性原则：系统要采用国际主流、成熟的体系架构来构建。</w:t>
      </w:r>
    </w:p>
    <w:p w14:paraId="03BE7F79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适用性原则：保护已有资源，急用先行，在满足应用需求的前提下，尽量降低建设成本。</w:t>
      </w:r>
    </w:p>
    <w:p w14:paraId="1E6BD722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可拓展性原则：系统设计要考虑到业务未来发展的需要，尽可能设计得简明，降低各功能模块耦合度，并充分考虑兼容性。</w:t>
      </w:r>
    </w:p>
    <w:p w14:paraId="44E4C6E4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易用性原则：系统应具备简洁直观的用户界面、操作方便、录入效率高，有良好用户体验，</w:t>
      </w:r>
    </w:p>
    <w:p w14:paraId="6F803EC7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模块化原则：系统设计充分考虑到系统间的关联，采用模块化设计策略，降低功能间的耦合度。</w:t>
      </w:r>
    </w:p>
    <w:p w14:paraId="55BD5403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经济性原则：在满足用户要求及以上原则前提下，采用最经济的投资及运行解决方案。</w:t>
      </w:r>
    </w:p>
    <w:p w14:paraId="48E1C55F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rFonts w:hint="eastAsia"/>
          <w:b w:val="0"/>
          <w:szCs w:val="21"/>
        </w:rPr>
      </w:pPr>
      <w:r>
        <w:rPr>
          <w:rFonts w:hint="eastAsia"/>
          <w:b w:val="0"/>
          <w:szCs w:val="21"/>
        </w:rPr>
        <w:t>易维护性原则：设备和系统设计充分考虑系统运营后的维护的便利性，使维护成本最低。</w:t>
      </w:r>
    </w:p>
    <w:p w14:paraId="1BC73933">
      <w:pPr>
        <w:pStyle w:val="79"/>
        <w:numPr>
          <w:ilvl w:val="0"/>
          <w:numId w:val="5"/>
        </w:numPr>
        <w:spacing w:line="360" w:lineRule="auto"/>
        <w:ind w:left="0" w:firstLine="420" w:firstLineChars="200"/>
        <w:rPr>
          <w:b w:val="0"/>
          <w:szCs w:val="21"/>
        </w:rPr>
      </w:pPr>
      <w:r>
        <w:rPr>
          <w:rFonts w:hint="eastAsia"/>
          <w:b w:val="0"/>
          <w:szCs w:val="21"/>
        </w:rPr>
        <w:t>灵活性原则。所设计的系统能符合业务的需求，在管理上具有增、删、改等功能，计算机系统维护灵活方便。</w:t>
      </w:r>
    </w:p>
    <w:bookmarkEnd w:id="71"/>
    <w:p w14:paraId="11998882">
      <w:pPr>
        <w:widowControl/>
        <w:numPr>
          <w:ilvl w:val="1"/>
          <w:numId w:val="3"/>
        </w:numPr>
        <w:tabs>
          <w:tab w:val="left" w:pos="735"/>
        </w:tabs>
        <w:adjustRightInd w:val="0"/>
        <w:spacing w:before="156" w:beforeLines="50" w:line="360" w:lineRule="auto"/>
        <w:ind w:left="105" w:leftChars="50" w:firstLine="0"/>
        <w:jc w:val="left"/>
        <w:outlineLvl w:val="1"/>
        <w:rPr>
          <w:rFonts w:hint="eastAsia"/>
          <w:b/>
          <w:sz w:val="24"/>
        </w:rPr>
      </w:pPr>
      <w:bookmarkStart w:id="72" w:name="_Toc31321"/>
      <w:bookmarkStart w:id="73" w:name="_Toc30666"/>
      <w:r>
        <w:rPr>
          <w:rFonts w:hint="eastAsia"/>
          <w:b/>
          <w:sz w:val="24"/>
        </w:rPr>
        <w:t>关键词解释</w:t>
      </w:r>
      <w:bookmarkEnd w:id="72"/>
      <w:bookmarkEnd w:id="73"/>
    </w:p>
    <w:tbl>
      <w:tblPr>
        <w:tblStyle w:val="2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6109"/>
      </w:tblGrid>
      <w:tr w14:paraId="10E85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6" w:type="dxa"/>
            <w:noWrap w:val="0"/>
            <w:vAlign w:val="center"/>
          </w:tcPr>
          <w:p w14:paraId="5F0491F3">
            <w:pPr>
              <w:pStyle w:val="80"/>
              <w:jc w:val="both"/>
              <w:rPr>
                <w:rFonts w:ascii="Times New Roman" w:hAnsi="Times New Roman" w:cs="Times New Roman"/>
                <w:szCs w:val="21"/>
              </w:rPr>
            </w:pPr>
            <w:bookmarkStart w:id="74" w:name="_Hlk91075205"/>
            <w:r>
              <w:rPr>
                <w:rFonts w:hint="eastAsia" w:ascii="Times New Roman" w:hAnsi="Times New Roman" w:cs="Times New Roman"/>
                <w:szCs w:val="21"/>
              </w:rPr>
              <w:t>WMS</w:t>
            </w:r>
          </w:p>
        </w:tc>
        <w:tc>
          <w:tcPr>
            <w:tcW w:w="7369" w:type="dxa"/>
            <w:noWrap w:val="0"/>
            <w:vAlign w:val="center"/>
          </w:tcPr>
          <w:p w14:paraId="0E15EC84">
            <w:pPr>
              <w:pStyle w:val="8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Warehouse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Management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System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仓库管理系统</w:t>
            </w:r>
          </w:p>
        </w:tc>
      </w:tr>
      <w:tr w14:paraId="2DD78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86" w:type="dxa"/>
            <w:noWrap w:val="0"/>
            <w:vAlign w:val="center"/>
          </w:tcPr>
          <w:p w14:paraId="45482E91">
            <w:pPr>
              <w:pStyle w:val="8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WCS</w:t>
            </w:r>
          </w:p>
        </w:tc>
        <w:tc>
          <w:tcPr>
            <w:tcW w:w="7369" w:type="dxa"/>
            <w:noWrap w:val="0"/>
            <w:vAlign w:val="center"/>
          </w:tcPr>
          <w:p w14:paraId="55B8C36B">
            <w:pPr>
              <w:pStyle w:val="80"/>
              <w:jc w:val="both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Warehouse Control Sysetem 仓库控制系统</w:t>
            </w:r>
          </w:p>
        </w:tc>
      </w:tr>
      <w:bookmarkEnd w:id="74"/>
    </w:tbl>
    <w:p w14:paraId="39ED5C06">
      <w:pPr>
        <w:widowControl/>
        <w:numPr>
          <w:ilvl w:val="1"/>
          <w:numId w:val="3"/>
        </w:numPr>
        <w:tabs>
          <w:tab w:val="left" w:pos="735"/>
        </w:tabs>
        <w:adjustRightInd w:val="0"/>
        <w:spacing w:before="156" w:beforeLines="50" w:line="360" w:lineRule="auto"/>
        <w:ind w:left="105" w:leftChars="50" w:firstLine="0"/>
        <w:jc w:val="left"/>
        <w:outlineLvl w:val="1"/>
        <w:rPr>
          <w:rFonts w:hint="eastAsia"/>
          <w:b/>
          <w:sz w:val="24"/>
        </w:rPr>
      </w:pPr>
      <w:bookmarkStart w:id="75" w:name="_Toc6567"/>
      <w:bookmarkStart w:id="76" w:name="_Toc30454"/>
      <w:r>
        <w:rPr>
          <w:rFonts w:hint="eastAsia"/>
          <w:b/>
          <w:sz w:val="24"/>
        </w:rPr>
        <w:t>设计规范</w:t>
      </w:r>
      <w:bookmarkEnd w:id="75"/>
      <w:bookmarkEnd w:id="76"/>
    </w:p>
    <w:p w14:paraId="4ABB666E">
      <w:pPr>
        <w:tabs>
          <w:tab w:val="left" w:pos="3975"/>
        </w:tabs>
        <w:spacing w:line="360" w:lineRule="auto"/>
        <w:ind w:firstLine="420" w:firstLineChars="200"/>
        <w:contextualSpacing/>
        <w:rPr>
          <w:color w:val="000000"/>
          <w:szCs w:val="21"/>
          <w:lang w:val="zh-CN"/>
        </w:rPr>
      </w:pPr>
      <w:r>
        <w:rPr>
          <w:rFonts w:hint="eastAsia"/>
          <w:color w:val="000000"/>
          <w:szCs w:val="21"/>
          <w:lang w:val="zh-CN"/>
        </w:rPr>
        <w:t>GB/T 11457</w:t>
      </w:r>
      <w:r>
        <w:rPr>
          <w:rFonts w:hint="eastAsia" w:cs="Arial"/>
          <w:kern w:val="0"/>
          <w:szCs w:val="21"/>
          <w:lang w:val="zh-CN"/>
        </w:rPr>
        <w:tab/>
      </w:r>
      <w:r>
        <w:rPr>
          <w:rFonts w:hint="eastAsia"/>
          <w:color w:val="000000"/>
          <w:szCs w:val="21"/>
          <w:lang w:val="zh-CN"/>
        </w:rPr>
        <w:t>软件工程术语</w:t>
      </w:r>
    </w:p>
    <w:p w14:paraId="5DB904C0">
      <w:pPr>
        <w:tabs>
          <w:tab w:val="left" w:pos="3975"/>
        </w:tabs>
        <w:spacing w:line="360" w:lineRule="auto"/>
        <w:ind w:firstLine="420" w:firstLineChars="200"/>
        <w:contextualSpacing/>
        <w:rPr>
          <w:color w:val="000000"/>
          <w:szCs w:val="21"/>
          <w:lang w:val="zh-CN"/>
        </w:rPr>
      </w:pPr>
      <w:r>
        <w:rPr>
          <w:rFonts w:hint="eastAsia"/>
          <w:color w:val="000000"/>
          <w:szCs w:val="21"/>
          <w:lang w:val="zh-CN"/>
        </w:rPr>
        <w:t>GB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  <w:lang w:val="zh-CN"/>
        </w:rPr>
        <w:t>856</w:t>
      </w:r>
      <w:r>
        <w:rPr>
          <w:rFonts w:hint="eastAsia"/>
          <w:color w:val="000000"/>
          <w:szCs w:val="21"/>
        </w:rPr>
        <w:t>7-88</w:t>
      </w:r>
      <w:r>
        <w:rPr>
          <w:rFonts w:hint="eastAsia" w:cs="Arial"/>
          <w:kern w:val="0"/>
          <w:szCs w:val="21"/>
          <w:lang w:val="zh-CN"/>
        </w:rPr>
        <w:tab/>
      </w:r>
      <w:r>
        <w:rPr>
          <w:rFonts w:hint="eastAsia"/>
          <w:color w:val="000000"/>
          <w:szCs w:val="21"/>
          <w:lang w:val="zh-CN"/>
        </w:rPr>
        <w:t>软件</w:t>
      </w:r>
      <w:r>
        <w:rPr>
          <w:rFonts w:hint="eastAsia"/>
          <w:color w:val="000000"/>
          <w:szCs w:val="21"/>
        </w:rPr>
        <w:t>设计</w:t>
      </w:r>
      <w:r>
        <w:rPr>
          <w:rFonts w:hint="eastAsia"/>
          <w:color w:val="000000"/>
          <w:szCs w:val="21"/>
          <w:lang w:val="zh-CN"/>
        </w:rPr>
        <w:t>国家标准</w:t>
      </w:r>
    </w:p>
    <w:p w14:paraId="1DEED729">
      <w:pPr>
        <w:tabs>
          <w:tab w:val="left" w:pos="3975"/>
        </w:tabs>
        <w:spacing w:line="360" w:lineRule="auto"/>
        <w:ind w:firstLine="420" w:firstLineChars="200"/>
        <w:contextualSpacing/>
        <w:rPr>
          <w:color w:val="000000"/>
          <w:szCs w:val="21"/>
          <w:lang w:val="zh-CN"/>
        </w:rPr>
      </w:pPr>
      <w:r>
        <w:rPr>
          <w:rFonts w:hint="eastAsia"/>
          <w:color w:val="000000"/>
          <w:szCs w:val="21"/>
          <w:lang w:val="zh-CN"/>
        </w:rPr>
        <w:t>GB 8566-2007</w:t>
      </w:r>
      <w:r>
        <w:rPr>
          <w:rFonts w:hint="eastAsia" w:cs="Arial"/>
          <w:kern w:val="0"/>
          <w:szCs w:val="21"/>
          <w:lang w:val="zh-CN"/>
        </w:rPr>
        <w:tab/>
      </w:r>
      <w:r>
        <w:rPr>
          <w:rFonts w:hint="eastAsia"/>
          <w:color w:val="000000"/>
          <w:szCs w:val="21"/>
          <w:lang w:val="zh-CN"/>
        </w:rPr>
        <w:t>信息技术软件生存周期过程</w:t>
      </w:r>
    </w:p>
    <w:p w14:paraId="31E9E398">
      <w:pPr>
        <w:tabs>
          <w:tab w:val="left" w:pos="3975"/>
        </w:tabs>
        <w:spacing w:line="360" w:lineRule="auto"/>
        <w:ind w:firstLine="420" w:firstLineChars="200"/>
        <w:contextualSpacing/>
        <w:rPr>
          <w:color w:val="000000"/>
          <w:szCs w:val="21"/>
          <w:lang w:val="zh-CN"/>
        </w:rPr>
      </w:pPr>
      <w:r>
        <w:rPr>
          <w:rFonts w:hint="eastAsia"/>
          <w:color w:val="000000"/>
          <w:szCs w:val="21"/>
          <w:lang w:val="zh-CN"/>
        </w:rPr>
        <w:t>GB 8567</w:t>
      </w:r>
      <w:r>
        <w:rPr>
          <w:rFonts w:hint="eastAsia"/>
          <w:color w:val="000000"/>
          <w:szCs w:val="21"/>
        </w:rPr>
        <w:t>-</w:t>
      </w:r>
      <w:r>
        <w:rPr>
          <w:rFonts w:hint="eastAsia"/>
          <w:color w:val="000000"/>
          <w:szCs w:val="21"/>
          <w:lang w:val="zh-CN"/>
        </w:rPr>
        <w:t>2006</w:t>
      </w:r>
      <w:r>
        <w:rPr>
          <w:rFonts w:hint="eastAsia" w:cs="Arial"/>
          <w:kern w:val="0"/>
          <w:szCs w:val="21"/>
          <w:lang w:val="zh-CN"/>
        </w:rPr>
        <w:tab/>
      </w:r>
      <w:r>
        <w:rPr>
          <w:rFonts w:hint="eastAsia"/>
          <w:color w:val="000000"/>
          <w:szCs w:val="21"/>
          <w:lang w:val="zh-CN"/>
        </w:rPr>
        <w:t>计算机软件文档编制规范</w:t>
      </w:r>
    </w:p>
    <w:p w14:paraId="102F8B82">
      <w:pPr>
        <w:tabs>
          <w:tab w:val="left" w:pos="3975"/>
        </w:tabs>
        <w:spacing w:line="360" w:lineRule="auto"/>
        <w:ind w:firstLine="420" w:firstLineChars="200"/>
        <w:contextualSpacing/>
        <w:rPr>
          <w:color w:val="000000"/>
          <w:szCs w:val="21"/>
          <w:lang w:val="zh-CN"/>
        </w:rPr>
      </w:pPr>
      <w:r>
        <w:rPr>
          <w:rFonts w:hint="eastAsia"/>
          <w:color w:val="000000"/>
          <w:szCs w:val="21"/>
          <w:lang w:val="zh-CN"/>
        </w:rPr>
        <w:t>GB/T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  <w:lang w:val="zh-CN"/>
        </w:rPr>
        <w:t>12504-1990（ANSI／IEEE730）</w:t>
      </w:r>
      <w:r>
        <w:rPr>
          <w:rFonts w:hint="eastAsia" w:cs="Arial"/>
          <w:kern w:val="0"/>
          <w:szCs w:val="21"/>
          <w:lang w:val="zh-CN"/>
        </w:rPr>
        <w:tab/>
      </w:r>
      <w:r>
        <w:rPr>
          <w:rFonts w:hint="eastAsia"/>
          <w:color w:val="000000"/>
          <w:szCs w:val="21"/>
          <w:lang w:val="zh-CN"/>
        </w:rPr>
        <w:t>计算机软件质量保证计划规范</w:t>
      </w:r>
    </w:p>
    <w:p w14:paraId="058B8852">
      <w:pPr>
        <w:tabs>
          <w:tab w:val="left" w:pos="3975"/>
        </w:tabs>
        <w:spacing w:line="360" w:lineRule="auto"/>
        <w:ind w:firstLine="420" w:firstLineChars="200"/>
        <w:contextualSpacing/>
        <w:rPr>
          <w:color w:val="000000"/>
          <w:szCs w:val="21"/>
          <w:lang w:val="zh-CN"/>
        </w:rPr>
      </w:pPr>
      <w:r>
        <w:rPr>
          <w:rFonts w:hint="eastAsia"/>
          <w:color w:val="000000"/>
          <w:szCs w:val="21"/>
          <w:lang w:val="zh-CN"/>
        </w:rPr>
        <w:t>GB</w:t>
      </w:r>
      <w:r>
        <w:rPr>
          <w:rFonts w:hint="eastAsia"/>
          <w:color w:val="000000"/>
          <w:szCs w:val="21"/>
        </w:rPr>
        <w:t>/</w:t>
      </w:r>
      <w:r>
        <w:rPr>
          <w:rFonts w:hint="eastAsia"/>
          <w:color w:val="000000"/>
          <w:szCs w:val="21"/>
          <w:lang w:val="zh-CN"/>
        </w:rPr>
        <w:t>T</w:t>
      </w:r>
      <w:r>
        <w:rPr>
          <w:rFonts w:hint="eastAsia"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  <w:lang w:val="zh-CN"/>
        </w:rPr>
        <w:t>12505-</w:t>
      </w:r>
      <w:r>
        <w:rPr>
          <w:rFonts w:hint="eastAsia"/>
          <w:color w:val="000000"/>
          <w:szCs w:val="21"/>
        </w:rPr>
        <w:t>19</w:t>
      </w:r>
      <w:r>
        <w:rPr>
          <w:rFonts w:hint="eastAsia"/>
          <w:color w:val="000000"/>
          <w:szCs w:val="21"/>
          <w:lang w:val="zh-CN"/>
        </w:rPr>
        <w:t>90（IEEE 828）</w:t>
      </w:r>
      <w:r>
        <w:rPr>
          <w:rFonts w:hint="eastAsia" w:cs="Arial"/>
          <w:kern w:val="0"/>
          <w:szCs w:val="21"/>
          <w:lang w:val="zh-CN"/>
        </w:rPr>
        <w:tab/>
      </w:r>
      <w:r>
        <w:rPr>
          <w:rFonts w:hint="eastAsia"/>
          <w:color w:val="000000"/>
          <w:szCs w:val="21"/>
          <w:lang w:val="zh-CN"/>
        </w:rPr>
        <w:t>计算机软件配置管理计划规范</w:t>
      </w:r>
    </w:p>
    <w:p w14:paraId="65745AA5">
      <w:pPr>
        <w:widowControl/>
        <w:numPr>
          <w:ilvl w:val="1"/>
          <w:numId w:val="3"/>
        </w:numPr>
        <w:tabs>
          <w:tab w:val="left" w:pos="735"/>
        </w:tabs>
        <w:adjustRightInd w:val="0"/>
        <w:spacing w:before="156" w:beforeLines="50" w:line="360" w:lineRule="auto"/>
        <w:ind w:left="105" w:leftChars="50" w:firstLine="0"/>
        <w:jc w:val="left"/>
        <w:outlineLvl w:val="1"/>
        <w:rPr>
          <w:rFonts w:hint="eastAsia"/>
          <w:b/>
          <w:sz w:val="24"/>
        </w:rPr>
      </w:pPr>
      <w:bookmarkStart w:id="77" w:name="_Toc24664"/>
      <w:bookmarkStart w:id="78" w:name="_Toc26347"/>
      <w:r>
        <w:rPr>
          <w:rFonts w:hint="eastAsia"/>
          <w:b/>
          <w:sz w:val="24"/>
        </w:rPr>
        <w:t>总体设计规划</w:t>
      </w:r>
      <w:bookmarkEnd w:id="77"/>
      <w:bookmarkEnd w:id="78"/>
    </w:p>
    <w:p w14:paraId="36C85578">
      <w:pPr>
        <w:adjustRightInd w:val="0"/>
        <w:spacing w:line="360" w:lineRule="auto"/>
        <w:ind w:firstLine="420" w:firstLineChars="200"/>
        <w:jc w:val="left"/>
      </w:pPr>
      <w:r>
        <w:rPr>
          <w:rFonts w:hint="eastAsia"/>
        </w:rPr>
        <w:t>本系统定位为智能精益物流管理集成系统，通过“自动化+信息化”打通物料从入库到出库投料的全流程，各系统间通过指定协议无缝对接，可对接企业上位系统以及预留其他设备对接接口。高度支持根据客户实际需求进行定制开发，尽量满足客户业务需求。</w:t>
      </w:r>
    </w:p>
    <w:p w14:paraId="249A13D1">
      <w:pPr>
        <w:pStyle w:val="27"/>
        <w:ind w:firstLine="0" w:firstLineChars="0"/>
        <w:jc w:val="center"/>
        <w:rPr>
          <w:rFonts w:hint="eastAsia"/>
        </w:rPr>
      </w:pPr>
      <w:r>
        <w:drawing>
          <wp:inline distT="0" distB="0" distL="114300" distR="114300">
            <wp:extent cx="6379210" cy="3168015"/>
            <wp:effectExtent l="0" t="0" r="2540" b="1333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rcRect l="5353" r="2042"/>
                    <a:stretch>
                      <a:fillRect/>
                    </a:stretch>
                  </pic:blipFill>
                  <pic:spPr>
                    <a:xfrm>
                      <a:off x="0" y="0"/>
                      <a:ext cx="6379210" cy="316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EC1D4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/>
          <w:b/>
          <w:sz w:val="24"/>
        </w:rPr>
      </w:pPr>
      <w:bookmarkStart w:id="79" w:name="_Toc26405"/>
      <w:bookmarkStart w:id="80" w:name="_Toc6609"/>
      <w:bookmarkStart w:id="81" w:name="_Hlk91075342"/>
      <w:r>
        <w:rPr>
          <w:rFonts w:hint="eastAsia" w:ascii="微软雅黑" w:hAnsi="微软雅黑"/>
          <w:b/>
          <w:sz w:val="24"/>
        </w:rPr>
        <w:t>系统技术架构</w:t>
      </w:r>
      <w:bookmarkEnd w:id="79"/>
      <w:bookmarkEnd w:id="80"/>
    </w:p>
    <w:p w14:paraId="1102C57D">
      <w:pPr>
        <w:adjustRightIn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系统架构主要包括应用架构和技术架构。系统采用基于组件的标准SOA应用架构，以及按照SOA方法构建的基于微软标准的技术架构。</w:t>
      </w:r>
    </w:p>
    <w:p w14:paraId="6B9C246A">
      <w:pPr>
        <w:pStyle w:val="36"/>
        <w:numPr>
          <w:ilvl w:val="2"/>
          <w:numId w:val="6"/>
        </w:numPr>
        <w:snapToGrid/>
        <w:spacing w:line="360" w:lineRule="auto"/>
        <w:ind w:left="0" w:firstLine="420"/>
        <w:rPr>
          <w:rFonts w:ascii="Times New Roman" w:hAnsi="Times New Roman" w:eastAsia="宋体"/>
          <w:sz w:val="21"/>
          <w:szCs w:val="21"/>
        </w:rPr>
      </w:pPr>
      <w:r>
        <w:rPr>
          <w:rFonts w:ascii="Times New Roman" w:hAnsi="Times New Roman" w:eastAsia="宋体"/>
          <w:sz w:val="21"/>
          <w:szCs w:val="21"/>
        </w:rPr>
        <w:t>应用架构采用了基于服务的体系架构的策略与方法，系统将所有的服务构造成API，并按照系统需求发布API服务供系统调用；</w:t>
      </w:r>
    </w:p>
    <w:p w14:paraId="00676401">
      <w:pPr>
        <w:pStyle w:val="36"/>
        <w:numPr>
          <w:ilvl w:val="2"/>
          <w:numId w:val="6"/>
        </w:numPr>
        <w:snapToGrid/>
        <w:spacing w:line="360" w:lineRule="auto"/>
        <w:ind w:left="0" w:firstLine="420"/>
        <w:rPr>
          <w:rFonts w:ascii="Times New Roman" w:hAnsi="Times New Roman" w:eastAsia="宋体"/>
          <w:sz w:val="21"/>
          <w:szCs w:val="21"/>
        </w:rPr>
      </w:pPr>
      <w:r>
        <w:rPr>
          <w:rFonts w:ascii="Times New Roman" w:hAnsi="Times New Roman" w:eastAsia="宋体"/>
          <w:sz w:val="21"/>
          <w:szCs w:val="21"/>
        </w:rPr>
        <w:t>系统的技术架构同样也是基于SOA方法和策略进行构建的，它支持客户端和服务器端同步和异步的两种不同的通信方式，web层和服务层进行相对分离，支持分布式和集中式部署两种方案，并且不局限于某一种应用服务器和数据库服务器产品。</w:t>
      </w:r>
    </w:p>
    <w:p w14:paraId="35DAEA7C">
      <w:pPr>
        <w:adjustRightInd w:val="0"/>
        <w:spacing w:line="360" w:lineRule="auto"/>
        <w:ind w:firstLine="420" w:firstLineChars="200"/>
        <w:jc w:val="left"/>
        <w:rPr>
          <w:szCs w:val="21"/>
        </w:rPr>
      </w:pPr>
      <w:r>
        <w:rPr>
          <w:szCs w:val="21"/>
        </w:rPr>
        <w:t>系统基于.Net Core规范实现，整个系统采用三层架构，综合运用了Browser、WPF、WCF、工作流引擎等技术。如下图所示为系统的技术框架。</w:t>
      </w:r>
    </w:p>
    <w:bookmarkEnd w:id="81"/>
    <w:p w14:paraId="411B1403">
      <w:pPr>
        <w:spacing w:line="360" w:lineRule="auto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2663190" cy="4032250"/>
            <wp:effectExtent l="0" t="0" r="3810" b="6350"/>
            <wp:docPr id="14" name="图片 1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图片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6319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BC7B4">
      <w:pPr>
        <w:pStyle w:val="27"/>
        <w:spacing w:line="360" w:lineRule="auto"/>
        <w:ind w:firstLine="0" w:firstLineChars="0"/>
        <w:jc w:val="center"/>
        <w:rPr>
          <w:rFonts w:ascii="Times New Roman"/>
        </w:rPr>
      </w:pPr>
      <w:r>
        <w:rPr>
          <w:rFonts w:ascii="Times New Roman"/>
          <w:b/>
          <w:bCs/>
        </w:rPr>
        <w:t>三层体系结构图</w:t>
      </w:r>
    </w:p>
    <w:p w14:paraId="06D1AED0">
      <w:pPr>
        <w:numPr>
          <w:ilvl w:val="0"/>
          <w:numId w:val="7"/>
        </w:numPr>
        <w:spacing w:line="360" w:lineRule="auto"/>
        <w:ind w:left="0" w:firstLine="420" w:firstLineChars="200"/>
        <w:rPr>
          <w:szCs w:val="21"/>
        </w:rPr>
      </w:pPr>
      <w:r>
        <w:rPr>
          <w:szCs w:val="21"/>
        </w:rPr>
        <w:t>界面展示层：在面向用户的前端方面，我们提供了更加主流且更加方便的Browser方式和Vue的技术来实现前端应用，界面友好，符合人体工程学；</w:t>
      </w:r>
    </w:p>
    <w:p w14:paraId="4070D9D1">
      <w:pPr>
        <w:numPr>
          <w:ilvl w:val="0"/>
          <w:numId w:val="7"/>
        </w:numPr>
        <w:spacing w:line="360" w:lineRule="auto"/>
        <w:ind w:left="0" w:firstLine="420" w:firstLineChars="200"/>
        <w:rPr>
          <w:szCs w:val="21"/>
        </w:rPr>
      </w:pPr>
      <w:r>
        <w:rPr>
          <w:szCs w:val="21"/>
        </w:rPr>
        <w:t>业务逻辑层：主要是多业务逻辑进行封装，系统业务逻辑会采用.Net Core来对系统的业务流程进行分组和封装，当业务流程发送变化时候，系统可以通过：配置工作流流程来达到目的或者修改该分组的组建逻辑达到目的；</w:t>
      </w:r>
    </w:p>
    <w:p w14:paraId="0C68FF8B">
      <w:pPr>
        <w:numPr>
          <w:ilvl w:val="0"/>
          <w:numId w:val="7"/>
        </w:numPr>
        <w:spacing w:line="360" w:lineRule="auto"/>
        <w:ind w:left="0" w:firstLine="420" w:firstLineChars="200"/>
        <w:rPr>
          <w:szCs w:val="21"/>
        </w:rPr>
      </w:pPr>
      <w:r>
        <w:rPr>
          <w:szCs w:val="21"/>
        </w:rPr>
        <w:t>数据访问层：支持多种类型数据库，如：SQLServer、Oracle、MySQL等主流数据库，用来存储系统的数据；用Entity Framework框架来进行对数据库的读写访问。</w:t>
      </w:r>
    </w:p>
    <w:p w14:paraId="38701620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/>
          <w:b/>
          <w:sz w:val="24"/>
        </w:rPr>
      </w:pPr>
      <w:bookmarkStart w:id="82" w:name="_Toc10253"/>
      <w:bookmarkStart w:id="83" w:name="_Toc22335"/>
      <w:r>
        <w:rPr>
          <w:rFonts w:hint="eastAsia" w:ascii="微软雅黑" w:hAnsi="微软雅黑"/>
          <w:b/>
          <w:sz w:val="24"/>
        </w:rPr>
        <w:t>系统集成设计</w:t>
      </w:r>
      <w:bookmarkEnd w:id="82"/>
      <w:bookmarkEnd w:id="83"/>
    </w:p>
    <w:p w14:paraId="66ACAC57">
      <w:pPr>
        <w:spacing w:line="360" w:lineRule="auto"/>
        <w:ind w:firstLine="420" w:firstLineChars="200"/>
        <w:rPr>
          <w:szCs w:val="21"/>
        </w:rPr>
      </w:pPr>
      <w:bookmarkStart w:id="84" w:name="_Hlk91075511"/>
      <w:r>
        <w:rPr>
          <w:rFonts w:hint="eastAsia"/>
          <w:szCs w:val="21"/>
        </w:rPr>
        <w:t>WMS和WCS</w:t>
      </w:r>
      <w:r>
        <w:rPr>
          <w:rFonts w:hint="eastAsia"/>
          <w:szCs w:val="21"/>
          <w:lang w:val="en-US" w:eastAsia="zh-CN"/>
        </w:rPr>
        <w:t>可与</w:t>
      </w:r>
      <w:r>
        <w:rPr>
          <w:rFonts w:hint="eastAsia"/>
          <w:szCs w:val="21"/>
        </w:rPr>
        <w:t>其它系统进行集成，以获取必要的业务数据和反馈执行结果数据。</w:t>
      </w:r>
    </w:p>
    <w:p w14:paraId="1D911564"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支持Web API、Webservice等多种方式与其他系统进行集成，实现系统之间的消息交换和数据交互，支持以手动、自动或流程触发的方式进行数据传递。</w:t>
      </w:r>
      <w:bookmarkStart w:id="85" w:name="_Toc10874190"/>
      <w:bookmarkEnd w:id="85"/>
      <w:bookmarkStart w:id="86" w:name="_Toc43006491"/>
      <w:bookmarkEnd w:id="86"/>
      <w:bookmarkStart w:id="87" w:name="_Toc121646562"/>
      <w:bookmarkEnd w:id="87"/>
    </w:p>
    <w:bookmarkEnd w:id="84"/>
    <w:p w14:paraId="6678C3FA">
      <w:pPr>
        <w:spacing w:line="360" w:lineRule="auto"/>
        <w:ind w:firstLine="420" w:firstLineChars="200"/>
        <w:rPr>
          <w:szCs w:val="21"/>
        </w:rPr>
      </w:pPr>
      <w:bookmarkStart w:id="88" w:name="_Hlk91075578"/>
      <w:r>
        <w:rPr>
          <w:rFonts w:hint="eastAsia"/>
          <w:szCs w:val="21"/>
        </w:rPr>
        <w:t>（1）接口方式</w:t>
      </w:r>
    </w:p>
    <w:p w14:paraId="057C008F"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应用系统须将系统内的业务逻辑进行封装，以Web API、Webservice形式对外发布，并提供详细的Web API、Webservice接口使用说明。</w:t>
      </w:r>
    </w:p>
    <w:p w14:paraId="7C5D0653"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（2）接口协议</w:t>
      </w:r>
    </w:p>
    <w:p w14:paraId="43A0D281"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应用系统须支持SOAP（Simple Object Access Protocol）消息传送协议。</w:t>
      </w:r>
    </w:p>
    <w:p w14:paraId="4655398F"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（3）通讯请求报文和结果报文格式</w:t>
      </w:r>
    </w:p>
    <w:p w14:paraId="39E110AC">
      <w:pPr>
        <w:spacing w:line="360" w:lineRule="auto"/>
        <w:ind w:firstLine="420" w:firstLineChars="200"/>
        <w:rPr>
          <w:rFonts w:hint="eastAsia" w:ascii="微软雅黑" w:hAnsi="微软雅黑" w:eastAsia="宋体" w:cs="Times New Roman"/>
          <w:b/>
          <w:sz w:val="24"/>
          <w:szCs w:val="24"/>
        </w:rPr>
      </w:pPr>
      <w:r>
        <w:rPr>
          <w:rFonts w:hint="eastAsia"/>
          <w:szCs w:val="21"/>
        </w:rPr>
        <w:t>应用系统须支持使用通用报文格式结构，包括但不限于XML、JSON等。</w:t>
      </w:r>
      <w:bookmarkEnd w:id="88"/>
    </w:p>
    <w:p w14:paraId="41B73068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89" w:name="_Toc16704"/>
      <w:r>
        <w:rPr>
          <w:rFonts w:hint="eastAsia" w:ascii="微软雅黑" w:hAnsi="微软雅黑" w:eastAsia="宋体" w:cs="Times New Roman"/>
          <w:b/>
          <w:sz w:val="24"/>
          <w:szCs w:val="24"/>
        </w:rPr>
        <w:t>系统功能范围</w:t>
      </w:r>
      <w:bookmarkEnd w:id="89"/>
    </w:p>
    <w:p w14:paraId="65EB064E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90" w:name="_Toc9105"/>
      <w:bookmarkStart w:id="91" w:name="_Toc28234"/>
      <w:r>
        <w:rPr>
          <w:b/>
          <w:sz w:val="24"/>
        </w:rPr>
        <w:t>WMS系统功能清单</w:t>
      </w:r>
      <w:bookmarkEnd w:id="90"/>
      <w:bookmarkEnd w:id="91"/>
    </w:p>
    <w:tbl>
      <w:tblPr>
        <w:tblStyle w:val="28"/>
        <w:tblW w:w="5000" w:type="pct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1413"/>
        <w:gridCol w:w="5690"/>
      </w:tblGrid>
      <w:tr w14:paraId="3A7D5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423" w:type="dxa"/>
            <w:shd w:val="clear" w:color="auto" w:fill="BEBEBE"/>
            <w:noWrap w:val="0"/>
            <w:vAlign w:val="center"/>
          </w:tcPr>
          <w:p w14:paraId="0B44F71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主功能</w:t>
            </w:r>
          </w:p>
        </w:tc>
        <w:tc>
          <w:tcPr>
            <w:tcW w:w="1677" w:type="dxa"/>
            <w:shd w:val="clear" w:color="auto" w:fill="BEBEBE"/>
            <w:noWrap w:val="0"/>
            <w:vAlign w:val="center"/>
          </w:tcPr>
          <w:p w14:paraId="57A6953A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分选功能</w:t>
            </w:r>
          </w:p>
        </w:tc>
        <w:tc>
          <w:tcPr>
            <w:tcW w:w="6755" w:type="dxa"/>
            <w:shd w:val="clear" w:color="auto" w:fill="BEBEBE"/>
            <w:noWrap w:val="0"/>
            <w:vAlign w:val="center"/>
          </w:tcPr>
          <w:p w14:paraId="4AE2172A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功能描述</w:t>
            </w:r>
          </w:p>
        </w:tc>
      </w:tr>
      <w:tr w14:paraId="04CF6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2FE81BB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基础数据管理</w:t>
            </w:r>
          </w:p>
        </w:tc>
        <w:tc>
          <w:tcPr>
            <w:tcW w:w="1677" w:type="dxa"/>
            <w:noWrap w:val="0"/>
            <w:vAlign w:val="center"/>
          </w:tcPr>
          <w:p w14:paraId="755AE7A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物料管理</w:t>
            </w:r>
          </w:p>
        </w:tc>
        <w:tc>
          <w:tcPr>
            <w:tcW w:w="6755" w:type="dxa"/>
            <w:noWrap w:val="0"/>
            <w:vAlign w:val="center"/>
          </w:tcPr>
          <w:p w14:paraId="26A18BBF">
            <w:pPr>
              <w:rPr>
                <w:szCs w:val="21"/>
              </w:rPr>
            </w:pPr>
            <w:r>
              <w:rPr>
                <w:szCs w:val="21"/>
              </w:rPr>
              <w:t>查询、新增、编辑当前物料信息，物料信息可与</w:t>
            </w:r>
            <w:r>
              <w:rPr>
                <w:rFonts w:hint="eastAsia"/>
                <w:szCs w:val="21"/>
                <w:lang w:val="en-US" w:eastAsia="zh-CN"/>
              </w:rPr>
              <w:t>上游系统</w:t>
            </w:r>
            <w:r>
              <w:rPr>
                <w:szCs w:val="21"/>
              </w:rPr>
              <w:t>同步</w:t>
            </w:r>
          </w:p>
        </w:tc>
      </w:tr>
      <w:tr w14:paraId="4C6BB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15C67210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187CCC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货位管理</w:t>
            </w:r>
          </w:p>
        </w:tc>
        <w:tc>
          <w:tcPr>
            <w:tcW w:w="6755" w:type="dxa"/>
            <w:noWrap w:val="0"/>
            <w:vAlign w:val="center"/>
          </w:tcPr>
          <w:p w14:paraId="6856B1F3">
            <w:pPr>
              <w:rPr>
                <w:szCs w:val="21"/>
              </w:rPr>
            </w:pPr>
            <w:r>
              <w:rPr>
                <w:szCs w:val="21"/>
              </w:rPr>
              <w:t>查询、编辑当前货位信息，显示所有当前状态</w:t>
            </w:r>
          </w:p>
        </w:tc>
      </w:tr>
      <w:tr w14:paraId="1C4DF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177FEC50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340CDB1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设备管理</w:t>
            </w:r>
          </w:p>
        </w:tc>
        <w:tc>
          <w:tcPr>
            <w:tcW w:w="6755" w:type="dxa"/>
            <w:noWrap w:val="0"/>
            <w:vAlign w:val="center"/>
          </w:tcPr>
          <w:p w14:paraId="22FF5241">
            <w:pPr>
              <w:rPr>
                <w:szCs w:val="21"/>
              </w:rPr>
            </w:pPr>
            <w:r>
              <w:rPr>
                <w:szCs w:val="21"/>
              </w:rPr>
              <w:t>查询、编辑当前</w:t>
            </w:r>
            <w:r>
              <w:rPr>
                <w:rFonts w:hint="eastAsia"/>
                <w:szCs w:val="21"/>
              </w:rPr>
              <w:t>设备</w:t>
            </w:r>
            <w:r>
              <w:rPr>
                <w:szCs w:val="21"/>
              </w:rPr>
              <w:t>状态，根据</w:t>
            </w:r>
            <w:r>
              <w:rPr>
                <w:rFonts w:hint="eastAsia"/>
                <w:szCs w:val="21"/>
              </w:rPr>
              <w:t>设备</w:t>
            </w:r>
            <w:r>
              <w:rPr>
                <w:szCs w:val="21"/>
              </w:rPr>
              <w:t>的状态来分配出入库任务</w:t>
            </w:r>
          </w:p>
        </w:tc>
      </w:tr>
      <w:tr w14:paraId="1A373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3F7DABB0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282B96C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库区管理</w:t>
            </w:r>
          </w:p>
        </w:tc>
        <w:tc>
          <w:tcPr>
            <w:tcW w:w="6755" w:type="dxa"/>
            <w:noWrap w:val="0"/>
            <w:vAlign w:val="center"/>
          </w:tcPr>
          <w:p w14:paraId="27E6DCDE">
            <w:pPr>
              <w:rPr>
                <w:szCs w:val="21"/>
              </w:rPr>
            </w:pPr>
            <w:r>
              <w:rPr>
                <w:szCs w:val="21"/>
              </w:rPr>
              <w:t>查询、新增、编辑库区信息，可以自定义创建库区</w:t>
            </w:r>
          </w:p>
        </w:tc>
      </w:tr>
      <w:tr w14:paraId="617A1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07D3653B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0A1BEF6C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库口管理</w:t>
            </w:r>
          </w:p>
        </w:tc>
        <w:tc>
          <w:tcPr>
            <w:tcW w:w="6755" w:type="dxa"/>
            <w:noWrap w:val="0"/>
            <w:vAlign w:val="center"/>
          </w:tcPr>
          <w:p w14:paraId="41EB914E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查询、新增、编辑库</w:t>
            </w:r>
            <w:r>
              <w:rPr>
                <w:rFonts w:hint="eastAsia"/>
                <w:szCs w:val="21"/>
                <w:lang w:val="en-US" w:eastAsia="zh-CN"/>
              </w:rPr>
              <w:t>口</w:t>
            </w:r>
            <w:r>
              <w:rPr>
                <w:szCs w:val="21"/>
              </w:rPr>
              <w:t>信息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定义库口准入准出规则</w:t>
            </w:r>
          </w:p>
        </w:tc>
      </w:tr>
      <w:tr w14:paraId="58662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042EBE5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入库管理</w:t>
            </w:r>
          </w:p>
        </w:tc>
        <w:tc>
          <w:tcPr>
            <w:tcW w:w="1677" w:type="dxa"/>
            <w:noWrap w:val="0"/>
            <w:vAlign w:val="center"/>
          </w:tcPr>
          <w:p w14:paraId="485AC9C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入库订单管理</w:t>
            </w:r>
          </w:p>
        </w:tc>
        <w:tc>
          <w:tcPr>
            <w:tcW w:w="6755" w:type="dxa"/>
            <w:noWrap w:val="0"/>
            <w:vAlign w:val="center"/>
          </w:tcPr>
          <w:p w14:paraId="28B95589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查询、创建、编辑</w:t>
            </w:r>
            <w:r>
              <w:rPr>
                <w:rFonts w:hint="eastAsia"/>
                <w:szCs w:val="21"/>
                <w:lang w:val="en-US" w:eastAsia="zh-CN"/>
              </w:rPr>
              <w:t>入库订单</w:t>
            </w:r>
            <w:r>
              <w:rPr>
                <w:szCs w:val="21"/>
              </w:rPr>
              <w:t>信息</w:t>
            </w:r>
            <w:r>
              <w:rPr>
                <w:rFonts w:hint="eastAsia"/>
                <w:szCs w:val="21"/>
                <w:lang w:val="en-US" w:eastAsia="zh-CN"/>
              </w:rPr>
              <w:t>(名称，批次，货主，效期。。。)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支持合托/加料入库，支持自定义入库规则(</w:t>
            </w:r>
            <w:r>
              <w:rPr>
                <w:rFonts w:hint="eastAsia"/>
              </w:rPr>
              <w:t>ABC类</w:t>
            </w:r>
            <w:r>
              <w:rPr>
                <w:rFonts w:hint="eastAsia"/>
                <w:lang w:val="en-US" w:eastAsia="zh-CN"/>
              </w:rPr>
              <w:t>,同批次,物品冷热</w:t>
            </w:r>
            <w:r>
              <w:rPr>
                <w:rFonts w:hint="eastAsia"/>
              </w:rPr>
              <w:t>）</w:t>
            </w:r>
          </w:p>
        </w:tc>
      </w:tr>
      <w:tr w14:paraId="15281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75A326D2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4C8A9D7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组盘信息管理</w:t>
            </w:r>
          </w:p>
        </w:tc>
        <w:tc>
          <w:tcPr>
            <w:tcW w:w="6755" w:type="dxa"/>
            <w:noWrap w:val="0"/>
            <w:vAlign w:val="center"/>
          </w:tcPr>
          <w:p w14:paraId="14889AB7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查询、创建、编辑组盘信息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 xml:space="preserve">支持单托 </w:t>
            </w:r>
            <w:r>
              <w:rPr>
                <w:rFonts w:hint="eastAsia"/>
              </w:rPr>
              <w:t>体积，重量</w:t>
            </w:r>
            <w:r>
              <w:rPr>
                <w:rFonts w:hint="eastAsia"/>
                <w:lang w:val="en-US" w:eastAsia="zh-CN"/>
              </w:rPr>
              <w:t xml:space="preserve"> 等相关限制信息</w:t>
            </w:r>
          </w:p>
        </w:tc>
      </w:tr>
      <w:tr w14:paraId="7B0F2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27D2E4AA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2FC62F9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入库任务管理</w:t>
            </w:r>
          </w:p>
        </w:tc>
        <w:tc>
          <w:tcPr>
            <w:tcW w:w="6755" w:type="dxa"/>
            <w:noWrap w:val="0"/>
            <w:vAlign w:val="center"/>
          </w:tcPr>
          <w:p w14:paraId="6DD901E5">
            <w:pPr>
              <w:rPr>
                <w:szCs w:val="21"/>
              </w:rPr>
            </w:pPr>
            <w:r>
              <w:rPr>
                <w:szCs w:val="21"/>
              </w:rPr>
              <w:t>查询当前所有的入库任务详细信息</w:t>
            </w:r>
          </w:p>
        </w:tc>
      </w:tr>
      <w:tr w14:paraId="6E375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2F7BA718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0800724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历史入库订单查询</w:t>
            </w:r>
          </w:p>
        </w:tc>
        <w:tc>
          <w:tcPr>
            <w:tcW w:w="6755" w:type="dxa"/>
            <w:noWrap w:val="0"/>
            <w:vAlign w:val="center"/>
          </w:tcPr>
          <w:p w14:paraId="280A48EF">
            <w:pPr>
              <w:rPr>
                <w:szCs w:val="21"/>
              </w:rPr>
            </w:pPr>
            <w:r>
              <w:rPr>
                <w:szCs w:val="21"/>
              </w:rPr>
              <w:t>查询所有历史完成的入库订单</w:t>
            </w:r>
          </w:p>
        </w:tc>
      </w:tr>
      <w:tr w14:paraId="70FFB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5C4B81DD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2264854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历史组盘信息查询</w:t>
            </w:r>
          </w:p>
        </w:tc>
        <w:tc>
          <w:tcPr>
            <w:tcW w:w="6755" w:type="dxa"/>
            <w:noWrap w:val="0"/>
            <w:vAlign w:val="center"/>
          </w:tcPr>
          <w:p w14:paraId="4279E610">
            <w:pPr>
              <w:rPr>
                <w:szCs w:val="21"/>
              </w:rPr>
            </w:pPr>
            <w:r>
              <w:rPr>
                <w:szCs w:val="21"/>
              </w:rPr>
              <w:t>查询所有历史完成的组盘信息</w:t>
            </w:r>
          </w:p>
        </w:tc>
      </w:tr>
      <w:tr w14:paraId="1950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3CA9A95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出库管理</w:t>
            </w:r>
          </w:p>
        </w:tc>
        <w:tc>
          <w:tcPr>
            <w:tcW w:w="1677" w:type="dxa"/>
            <w:noWrap w:val="0"/>
            <w:vAlign w:val="center"/>
          </w:tcPr>
          <w:p w14:paraId="04FC085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出库订单管理</w:t>
            </w:r>
          </w:p>
        </w:tc>
        <w:tc>
          <w:tcPr>
            <w:tcW w:w="6755" w:type="dxa"/>
            <w:noWrap w:val="0"/>
            <w:vAlign w:val="center"/>
          </w:tcPr>
          <w:p w14:paraId="182340F5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查询、创建、编辑出库订单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支持自定义出库规则（</w:t>
            </w:r>
            <w:r>
              <w:rPr>
                <w:rFonts w:hint="eastAsia"/>
              </w:rPr>
              <w:t>先进先出，</w:t>
            </w:r>
            <w:r>
              <w:rPr>
                <w:rFonts w:hint="eastAsia"/>
                <w:lang w:val="en-US" w:eastAsia="zh-CN"/>
              </w:rPr>
              <w:t>就近</w:t>
            </w:r>
            <w:r>
              <w:rPr>
                <w:rFonts w:hint="eastAsia"/>
              </w:rPr>
              <w:t>优先，清</w:t>
            </w:r>
            <w:r>
              <w:rPr>
                <w:rFonts w:hint="eastAsia"/>
                <w:lang w:val="en-US" w:eastAsia="zh-CN"/>
              </w:rPr>
              <w:t>托</w:t>
            </w:r>
            <w:r>
              <w:rPr>
                <w:rFonts w:hint="eastAsia"/>
              </w:rPr>
              <w:t>优先</w:t>
            </w:r>
            <w:r>
              <w:rPr>
                <w:rFonts w:hint="eastAsia"/>
                <w:lang w:eastAsia="zh-CN"/>
              </w:rPr>
              <w:t>。。。</w:t>
            </w:r>
            <w:r>
              <w:rPr>
                <w:rFonts w:hint="eastAsia"/>
                <w:szCs w:val="21"/>
                <w:lang w:val="en-US" w:eastAsia="zh-CN"/>
              </w:rPr>
              <w:t>），预约出库自动理货移库</w:t>
            </w:r>
          </w:p>
        </w:tc>
      </w:tr>
      <w:tr w14:paraId="68B4F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64CA7123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0E39C47F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盘点单管理</w:t>
            </w:r>
          </w:p>
        </w:tc>
        <w:tc>
          <w:tcPr>
            <w:tcW w:w="6755" w:type="dxa"/>
            <w:noWrap w:val="0"/>
            <w:vAlign w:val="center"/>
          </w:tcPr>
          <w:p w14:paraId="7692E409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查询、创建、编辑</w:t>
            </w:r>
            <w:r>
              <w:rPr>
                <w:rFonts w:hint="eastAsia"/>
                <w:szCs w:val="21"/>
                <w:lang w:val="en-US" w:eastAsia="zh-CN"/>
              </w:rPr>
              <w:t>盘点</w:t>
            </w:r>
            <w:r>
              <w:rPr>
                <w:szCs w:val="21"/>
              </w:rPr>
              <w:t>出库</w:t>
            </w:r>
            <w:r>
              <w:rPr>
                <w:rFonts w:hint="eastAsia"/>
                <w:szCs w:val="21"/>
                <w:lang w:val="en-US" w:eastAsia="zh-CN"/>
              </w:rPr>
              <w:t>单。支持自定义盘点类型(</w:t>
            </w:r>
            <w:r>
              <w:rPr>
                <w:rFonts w:hint="eastAsia"/>
              </w:rPr>
              <w:t>ABC类物品、</w:t>
            </w:r>
            <w:r>
              <w:rPr>
                <w:rFonts w:hint="eastAsia"/>
                <w:lang w:val="en-US" w:eastAsia="zh-CN"/>
              </w:rPr>
              <w:t>出入库时间段</w:t>
            </w:r>
            <w:r>
              <w:rPr>
                <w:rFonts w:hint="eastAsia"/>
              </w:rPr>
              <w:t>、分库位、全库、呆滞物料</w:t>
            </w:r>
            <w:r>
              <w:rPr>
                <w:rFonts w:hint="eastAsia"/>
                <w:szCs w:val="21"/>
                <w:lang w:val="en-US" w:eastAsia="zh-CN"/>
              </w:rPr>
              <w:t>)</w:t>
            </w:r>
          </w:p>
        </w:tc>
      </w:tr>
      <w:tr w14:paraId="22E50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214D1F71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1B6102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出库任务管理</w:t>
            </w:r>
          </w:p>
        </w:tc>
        <w:tc>
          <w:tcPr>
            <w:tcW w:w="6755" w:type="dxa"/>
            <w:noWrap w:val="0"/>
            <w:vAlign w:val="center"/>
          </w:tcPr>
          <w:p w14:paraId="7F44A9C1">
            <w:pPr>
              <w:rPr>
                <w:szCs w:val="21"/>
              </w:rPr>
            </w:pPr>
            <w:r>
              <w:rPr>
                <w:szCs w:val="21"/>
              </w:rPr>
              <w:t>查询当前所有的出库任务详细信息</w:t>
            </w:r>
          </w:p>
        </w:tc>
      </w:tr>
      <w:tr w14:paraId="0C54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29F0F74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指定出库</w:t>
            </w:r>
          </w:p>
        </w:tc>
        <w:tc>
          <w:tcPr>
            <w:tcW w:w="1677" w:type="dxa"/>
            <w:noWrap w:val="0"/>
            <w:vAlign w:val="center"/>
          </w:tcPr>
          <w:p w14:paraId="5209BE5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指定出库记录查询</w:t>
            </w:r>
          </w:p>
        </w:tc>
        <w:tc>
          <w:tcPr>
            <w:tcW w:w="6755" w:type="dxa"/>
            <w:noWrap w:val="0"/>
            <w:vAlign w:val="center"/>
          </w:tcPr>
          <w:p w14:paraId="18B00FF0">
            <w:pPr>
              <w:rPr>
                <w:szCs w:val="21"/>
              </w:rPr>
            </w:pPr>
            <w:r>
              <w:rPr>
                <w:szCs w:val="21"/>
              </w:rPr>
              <w:t>查询和管理当前所有创建的指定出库订单</w:t>
            </w:r>
          </w:p>
        </w:tc>
      </w:tr>
      <w:tr w14:paraId="1A9E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35033E2B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414B3E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创建指定出库</w:t>
            </w:r>
          </w:p>
        </w:tc>
        <w:tc>
          <w:tcPr>
            <w:tcW w:w="6755" w:type="dxa"/>
            <w:noWrap w:val="0"/>
            <w:vAlign w:val="center"/>
          </w:tcPr>
          <w:p w14:paraId="5F9F9B5A">
            <w:pPr>
              <w:rPr>
                <w:szCs w:val="21"/>
              </w:rPr>
            </w:pPr>
            <w:r>
              <w:rPr>
                <w:szCs w:val="21"/>
              </w:rPr>
              <w:t>选择出库订单，然后选择指定的托盘、货位、批次，创建出库任务</w:t>
            </w:r>
          </w:p>
        </w:tc>
      </w:tr>
      <w:tr w14:paraId="66AF5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3702CCD9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227C0D9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当前指定出库任务查询</w:t>
            </w:r>
          </w:p>
        </w:tc>
        <w:tc>
          <w:tcPr>
            <w:tcW w:w="6755" w:type="dxa"/>
            <w:noWrap w:val="0"/>
            <w:vAlign w:val="center"/>
          </w:tcPr>
          <w:p w14:paraId="5B3775A8">
            <w:pPr>
              <w:rPr>
                <w:szCs w:val="21"/>
              </w:rPr>
            </w:pPr>
            <w:r>
              <w:rPr>
                <w:szCs w:val="21"/>
              </w:rPr>
              <w:t>查询当前正在执行的指定出库详细任务</w:t>
            </w:r>
          </w:p>
        </w:tc>
      </w:tr>
      <w:tr w14:paraId="6127D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34F2513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库存管理</w:t>
            </w:r>
          </w:p>
        </w:tc>
        <w:tc>
          <w:tcPr>
            <w:tcW w:w="1677" w:type="dxa"/>
            <w:noWrap w:val="0"/>
            <w:vAlign w:val="center"/>
          </w:tcPr>
          <w:p w14:paraId="6B40E95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实时库存查询</w:t>
            </w:r>
          </w:p>
        </w:tc>
        <w:tc>
          <w:tcPr>
            <w:tcW w:w="6755" w:type="dxa"/>
            <w:noWrap w:val="0"/>
            <w:vAlign w:val="center"/>
          </w:tcPr>
          <w:p w14:paraId="5974F63D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查询和管理当前库存</w:t>
            </w:r>
            <w:r>
              <w:rPr>
                <w:rFonts w:hint="eastAsia"/>
                <w:szCs w:val="21"/>
                <w:lang w:val="en-US" w:eastAsia="zh-CN"/>
              </w:rPr>
              <w:t>物料相关</w:t>
            </w:r>
            <w:r>
              <w:rPr>
                <w:szCs w:val="21"/>
              </w:rPr>
              <w:t>信息</w:t>
            </w:r>
            <w:r>
              <w:rPr>
                <w:rFonts w:hint="eastAsia"/>
                <w:szCs w:val="21"/>
                <w:lang w:val="en-US" w:eastAsia="zh-CN"/>
              </w:rPr>
              <w:t>(名称，状态，批次。。。)</w:t>
            </w:r>
          </w:p>
        </w:tc>
      </w:tr>
      <w:tr w14:paraId="37847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130DACAD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49A5475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实时库存统计</w:t>
            </w:r>
          </w:p>
        </w:tc>
        <w:tc>
          <w:tcPr>
            <w:tcW w:w="6755" w:type="dxa"/>
            <w:noWrap w:val="0"/>
            <w:vAlign w:val="center"/>
          </w:tcPr>
          <w:p w14:paraId="7F55D9A6">
            <w:pPr>
              <w:rPr>
                <w:szCs w:val="21"/>
              </w:rPr>
            </w:pPr>
            <w:r>
              <w:rPr>
                <w:szCs w:val="21"/>
              </w:rPr>
              <w:t>根据指定条件统计库存数据</w:t>
            </w:r>
          </w:p>
        </w:tc>
      </w:tr>
      <w:tr w14:paraId="073A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2CCA8285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7083D11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实时库存平面图</w:t>
            </w:r>
          </w:p>
        </w:tc>
        <w:tc>
          <w:tcPr>
            <w:tcW w:w="6755" w:type="dxa"/>
            <w:noWrap w:val="0"/>
            <w:vAlign w:val="center"/>
          </w:tcPr>
          <w:p w14:paraId="72773AB0">
            <w:pPr>
              <w:rPr>
                <w:szCs w:val="21"/>
              </w:rPr>
            </w:pPr>
            <w:r>
              <w:rPr>
                <w:szCs w:val="21"/>
              </w:rPr>
              <w:t>实时显示当前货位平面图，并用不同的颜色标识代表不同的货位状态</w:t>
            </w:r>
          </w:p>
        </w:tc>
      </w:tr>
      <w:tr w14:paraId="70284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414CDE99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149303D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超期预警</w:t>
            </w:r>
          </w:p>
        </w:tc>
        <w:tc>
          <w:tcPr>
            <w:tcW w:w="6755" w:type="dxa"/>
            <w:noWrap w:val="0"/>
            <w:vAlign w:val="center"/>
          </w:tcPr>
          <w:p w14:paraId="02EAC921">
            <w:pPr>
              <w:rPr>
                <w:szCs w:val="21"/>
              </w:rPr>
            </w:pPr>
            <w:r>
              <w:rPr>
                <w:szCs w:val="21"/>
              </w:rPr>
              <w:t>提示即将超期的库存物料信息</w:t>
            </w:r>
          </w:p>
        </w:tc>
      </w:tr>
      <w:tr w14:paraId="4937E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60BE129D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157E25A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安全库存预警</w:t>
            </w:r>
          </w:p>
        </w:tc>
        <w:tc>
          <w:tcPr>
            <w:tcW w:w="6755" w:type="dxa"/>
            <w:noWrap w:val="0"/>
            <w:vAlign w:val="center"/>
          </w:tcPr>
          <w:p w14:paraId="6806C04C">
            <w:pPr>
              <w:rPr>
                <w:szCs w:val="21"/>
              </w:rPr>
            </w:pPr>
            <w:r>
              <w:rPr>
                <w:szCs w:val="21"/>
              </w:rPr>
              <w:t>提示即将到达安全库存值的库存物料信息</w:t>
            </w:r>
          </w:p>
        </w:tc>
      </w:tr>
      <w:tr w14:paraId="49367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5B38847D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126B5BC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库存状态调整</w:t>
            </w:r>
          </w:p>
        </w:tc>
        <w:tc>
          <w:tcPr>
            <w:tcW w:w="6755" w:type="dxa"/>
            <w:noWrap w:val="0"/>
            <w:vAlign w:val="center"/>
          </w:tcPr>
          <w:p w14:paraId="6BA1B9FB">
            <w:pPr>
              <w:rPr>
                <w:szCs w:val="21"/>
              </w:rPr>
            </w:pPr>
            <w:r>
              <w:rPr>
                <w:szCs w:val="21"/>
              </w:rPr>
              <w:t>管理员根据实际情况，对库存状态进行管理</w:t>
            </w:r>
          </w:p>
        </w:tc>
      </w:tr>
      <w:tr w14:paraId="0DB56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1B0AC3CE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大屏展示</w:t>
            </w:r>
          </w:p>
        </w:tc>
        <w:tc>
          <w:tcPr>
            <w:tcW w:w="1677" w:type="dxa"/>
            <w:noWrap w:val="0"/>
            <w:vAlign w:val="center"/>
          </w:tcPr>
          <w:p w14:paraId="41475913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库口看板</w:t>
            </w:r>
          </w:p>
        </w:tc>
        <w:tc>
          <w:tcPr>
            <w:tcW w:w="6755" w:type="dxa"/>
            <w:noWrap w:val="0"/>
            <w:vAlign w:val="center"/>
          </w:tcPr>
          <w:p w14:paraId="026B34CC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内置丰富的</w:t>
            </w:r>
            <w:r>
              <w:rPr>
                <w:rFonts w:hint="eastAsia"/>
                <w:lang w:val="en-US" w:eastAsia="zh-CN"/>
              </w:rPr>
              <w:t>作业提导参数(库口状态，单据信息，托盘信息，物料信息。。。)，根据需要定制展示内容</w:t>
            </w:r>
          </w:p>
        </w:tc>
      </w:tr>
      <w:tr w14:paraId="02371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6DC906B7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4BE97D17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监控看板</w:t>
            </w:r>
          </w:p>
        </w:tc>
        <w:tc>
          <w:tcPr>
            <w:tcW w:w="6755" w:type="dxa"/>
            <w:noWrap w:val="0"/>
            <w:vAlign w:val="center"/>
          </w:tcPr>
          <w:p w14:paraId="5D155098">
            <w:pPr>
              <w:rPr>
                <w:szCs w:val="21"/>
              </w:rPr>
            </w:pPr>
            <w:r>
              <w:rPr>
                <w:rFonts w:hint="eastAsia"/>
              </w:rPr>
              <w:t>内置丰富的</w:t>
            </w:r>
            <w:r>
              <w:rPr>
                <w:rFonts w:hint="eastAsia"/>
                <w:lang w:val="en-US" w:eastAsia="zh-CN"/>
              </w:rPr>
              <w:t>监控参数(</w:t>
            </w:r>
            <w:r>
              <w:rPr>
                <w:rFonts w:hint="eastAsia"/>
              </w:rPr>
              <w:t>设备效能：设备利用率、平均单次作业时间、吞吐能力峰值。仓库效能：库存周转率、库位利用率、人均处理效率</w:t>
            </w:r>
            <w:r>
              <w:rPr>
                <w:rFonts w:hint="eastAsia"/>
                <w:lang w:eastAsia="zh-CN"/>
              </w:rPr>
              <w:t>。。。</w:t>
            </w:r>
            <w:r>
              <w:rPr>
                <w:rFonts w:hint="eastAsia"/>
                <w:lang w:val="en-US" w:eastAsia="zh-CN"/>
              </w:rPr>
              <w:t>)，根据需要定制展示内容</w:t>
            </w:r>
          </w:p>
        </w:tc>
      </w:tr>
      <w:tr w14:paraId="11F04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1BD7C56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任务管理</w:t>
            </w:r>
          </w:p>
        </w:tc>
        <w:tc>
          <w:tcPr>
            <w:tcW w:w="1677" w:type="dxa"/>
            <w:noWrap w:val="0"/>
            <w:vAlign w:val="center"/>
          </w:tcPr>
          <w:p w14:paraId="27CBBC8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WMS当前任务查询</w:t>
            </w:r>
          </w:p>
        </w:tc>
        <w:tc>
          <w:tcPr>
            <w:tcW w:w="6755" w:type="dxa"/>
            <w:noWrap w:val="0"/>
            <w:vAlign w:val="center"/>
          </w:tcPr>
          <w:p w14:paraId="7B627B01">
            <w:pPr>
              <w:rPr>
                <w:szCs w:val="21"/>
              </w:rPr>
            </w:pPr>
            <w:r>
              <w:rPr>
                <w:szCs w:val="21"/>
              </w:rPr>
              <w:t>查询当前WMS所有任务</w:t>
            </w:r>
          </w:p>
        </w:tc>
      </w:tr>
      <w:tr w14:paraId="2062C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47F158EF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069AE64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入库历史任务查询</w:t>
            </w:r>
          </w:p>
        </w:tc>
        <w:tc>
          <w:tcPr>
            <w:tcW w:w="6755" w:type="dxa"/>
            <w:noWrap w:val="0"/>
            <w:vAlign w:val="center"/>
          </w:tcPr>
          <w:p w14:paraId="7B31C089">
            <w:pPr>
              <w:rPr>
                <w:szCs w:val="21"/>
              </w:rPr>
            </w:pPr>
            <w:r>
              <w:rPr>
                <w:szCs w:val="21"/>
              </w:rPr>
              <w:t>查询所有入库历史任务</w:t>
            </w:r>
          </w:p>
        </w:tc>
      </w:tr>
      <w:tr w14:paraId="63AE6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049269D4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6F6BE91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出库历史任务查询</w:t>
            </w:r>
          </w:p>
        </w:tc>
        <w:tc>
          <w:tcPr>
            <w:tcW w:w="6755" w:type="dxa"/>
            <w:noWrap w:val="0"/>
            <w:vAlign w:val="center"/>
          </w:tcPr>
          <w:p w14:paraId="196CAFD9">
            <w:pPr>
              <w:rPr>
                <w:szCs w:val="21"/>
              </w:rPr>
            </w:pPr>
            <w:r>
              <w:rPr>
                <w:szCs w:val="21"/>
              </w:rPr>
              <w:t>查询所有出库历史任务</w:t>
            </w:r>
          </w:p>
        </w:tc>
      </w:tr>
      <w:tr w14:paraId="4A226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0990C331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7DCBF90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盘点历史任务查询</w:t>
            </w:r>
          </w:p>
        </w:tc>
        <w:tc>
          <w:tcPr>
            <w:tcW w:w="6755" w:type="dxa"/>
            <w:noWrap w:val="0"/>
            <w:vAlign w:val="center"/>
          </w:tcPr>
          <w:p w14:paraId="01F19990">
            <w:pPr>
              <w:rPr>
                <w:szCs w:val="21"/>
              </w:rPr>
            </w:pPr>
            <w:r>
              <w:rPr>
                <w:szCs w:val="21"/>
              </w:rPr>
              <w:t>查询所有盘点历史任务</w:t>
            </w:r>
          </w:p>
        </w:tc>
      </w:tr>
      <w:tr w14:paraId="508A2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top"/>
          </w:tcPr>
          <w:p w14:paraId="001B2AE9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5A4A8C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系统操作日志查询</w:t>
            </w:r>
          </w:p>
        </w:tc>
        <w:tc>
          <w:tcPr>
            <w:tcW w:w="6755" w:type="dxa"/>
            <w:noWrap w:val="0"/>
            <w:vAlign w:val="center"/>
          </w:tcPr>
          <w:p w14:paraId="607D1A09">
            <w:pPr>
              <w:rPr>
                <w:szCs w:val="21"/>
              </w:rPr>
            </w:pPr>
            <w:r>
              <w:rPr>
                <w:szCs w:val="21"/>
              </w:rPr>
              <w:t>查询所有系统操作日志</w:t>
            </w:r>
          </w:p>
        </w:tc>
      </w:tr>
      <w:tr w14:paraId="658D1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noWrap w:val="0"/>
            <w:vAlign w:val="center"/>
          </w:tcPr>
          <w:p w14:paraId="54CDA53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用户管理</w:t>
            </w:r>
          </w:p>
        </w:tc>
        <w:tc>
          <w:tcPr>
            <w:tcW w:w="1677" w:type="dxa"/>
            <w:noWrap w:val="0"/>
            <w:vAlign w:val="center"/>
          </w:tcPr>
          <w:p w14:paraId="1627BEC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用户信息管理</w:t>
            </w:r>
          </w:p>
        </w:tc>
        <w:tc>
          <w:tcPr>
            <w:tcW w:w="6755" w:type="dxa"/>
            <w:noWrap w:val="0"/>
            <w:vAlign w:val="center"/>
          </w:tcPr>
          <w:p w14:paraId="53A7FB75">
            <w:pPr>
              <w:rPr>
                <w:szCs w:val="21"/>
              </w:rPr>
            </w:pPr>
            <w:r>
              <w:rPr>
                <w:szCs w:val="21"/>
              </w:rPr>
              <w:t>新增用户、修改用户信息、给用户配置权限</w:t>
            </w:r>
          </w:p>
        </w:tc>
      </w:tr>
      <w:tr w14:paraId="7CA98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restart"/>
            <w:noWrap w:val="0"/>
            <w:vAlign w:val="center"/>
          </w:tcPr>
          <w:p w14:paraId="53B3025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权限管理</w:t>
            </w:r>
          </w:p>
        </w:tc>
        <w:tc>
          <w:tcPr>
            <w:tcW w:w="1677" w:type="dxa"/>
            <w:noWrap w:val="0"/>
            <w:vAlign w:val="center"/>
          </w:tcPr>
          <w:p w14:paraId="1F57CD3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角色信息管理</w:t>
            </w:r>
          </w:p>
        </w:tc>
        <w:tc>
          <w:tcPr>
            <w:tcW w:w="6755" w:type="dxa"/>
            <w:noWrap w:val="0"/>
            <w:vAlign w:val="center"/>
          </w:tcPr>
          <w:p w14:paraId="43E0DC85">
            <w:pPr>
              <w:rPr>
                <w:szCs w:val="21"/>
              </w:rPr>
            </w:pPr>
            <w:r>
              <w:rPr>
                <w:szCs w:val="21"/>
              </w:rPr>
              <w:t>按照不同的岗位新增角色，可给不同的角色分配对应的用户</w:t>
            </w:r>
          </w:p>
        </w:tc>
      </w:tr>
      <w:tr w14:paraId="6CDC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vMerge w:val="continue"/>
            <w:noWrap w:val="0"/>
            <w:vAlign w:val="center"/>
          </w:tcPr>
          <w:p w14:paraId="70D2638C">
            <w:pPr>
              <w:jc w:val="center"/>
              <w:rPr>
                <w:szCs w:val="21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5E93A13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权限管理</w:t>
            </w:r>
          </w:p>
        </w:tc>
        <w:tc>
          <w:tcPr>
            <w:tcW w:w="6755" w:type="dxa"/>
            <w:noWrap w:val="0"/>
            <w:vAlign w:val="center"/>
          </w:tcPr>
          <w:p w14:paraId="4F56D60D">
            <w:pPr>
              <w:rPr>
                <w:szCs w:val="21"/>
              </w:rPr>
            </w:pPr>
            <w:r>
              <w:rPr>
                <w:szCs w:val="21"/>
              </w:rPr>
              <w:t>给不同的角色分配对应的操作权限</w:t>
            </w:r>
          </w:p>
        </w:tc>
      </w:tr>
      <w:tr w14:paraId="2FD1D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3" w:type="dxa"/>
            <w:noWrap w:val="0"/>
            <w:vAlign w:val="center"/>
          </w:tcPr>
          <w:p w14:paraId="753D4C1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日志管理</w:t>
            </w:r>
          </w:p>
        </w:tc>
        <w:tc>
          <w:tcPr>
            <w:tcW w:w="1677" w:type="dxa"/>
            <w:noWrap w:val="0"/>
            <w:vAlign w:val="center"/>
          </w:tcPr>
          <w:p w14:paraId="057C8817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系统操作日志</w:t>
            </w:r>
          </w:p>
        </w:tc>
        <w:tc>
          <w:tcPr>
            <w:tcW w:w="6755" w:type="dxa"/>
            <w:noWrap w:val="0"/>
            <w:vAlign w:val="center"/>
          </w:tcPr>
          <w:p w14:paraId="743657B6"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>记录登录者在系统上的所有操作记录</w:t>
            </w:r>
          </w:p>
        </w:tc>
      </w:tr>
    </w:tbl>
    <w:p w14:paraId="33F08025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b/>
          <w:sz w:val="24"/>
        </w:rPr>
      </w:pPr>
      <w:bookmarkStart w:id="92" w:name="_Toc11494"/>
      <w:bookmarkStart w:id="93" w:name="_Toc28726"/>
      <w:r>
        <w:rPr>
          <w:b/>
          <w:sz w:val="24"/>
        </w:rPr>
        <w:t>WCS系统功能清单</w:t>
      </w:r>
      <w:bookmarkEnd w:id="92"/>
      <w:bookmarkEnd w:id="93"/>
    </w:p>
    <w:tbl>
      <w:tblPr>
        <w:tblStyle w:val="2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922"/>
        <w:gridCol w:w="4900"/>
      </w:tblGrid>
      <w:tr w14:paraId="786C4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718" w:type="dxa"/>
            <w:shd w:val="clear" w:color="auto" w:fill="BEBEBE"/>
            <w:noWrap w:val="0"/>
            <w:vAlign w:val="center"/>
          </w:tcPr>
          <w:p w14:paraId="61E99663">
            <w:pPr>
              <w:jc w:val="center"/>
              <w:rPr>
                <w:color w:val="000000"/>
                <w:szCs w:val="21"/>
              </w:rPr>
            </w:pPr>
            <w:r>
              <w:rPr>
                <w:b/>
                <w:bCs/>
                <w:szCs w:val="21"/>
              </w:rPr>
              <w:t>主功能</w:t>
            </w:r>
          </w:p>
        </w:tc>
        <w:tc>
          <w:tcPr>
            <w:tcW w:w="2232" w:type="dxa"/>
            <w:shd w:val="clear" w:color="auto" w:fill="BEBEBE"/>
            <w:noWrap w:val="0"/>
            <w:vAlign w:val="center"/>
          </w:tcPr>
          <w:p w14:paraId="693F8FFE">
            <w:pPr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分选功能</w:t>
            </w:r>
          </w:p>
        </w:tc>
        <w:tc>
          <w:tcPr>
            <w:tcW w:w="5688" w:type="dxa"/>
            <w:shd w:val="clear" w:color="auto" w:fill="BEBEBE"/>
            <w:noWrap w:val="0"/>
            <w:vAlign w:val="center"/>
          </w:tcPr>
          <w:p w14:paraId="011FB36B">
            <w:pPr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功能描述</w:t>
            </w:r>
          </w:p>
        </w:tc>
      </w:tr>
      <w:tr w14:paraId="61466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noWrap w:val="0"/>
            <w:vAlign w:val="center"/>
          </w:tcPr>
          <w:p w14:paraId="761CE74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权限管理</w:t>
            </w:r>
          </w:p>
        </w:tc>
        <w:tc>
          <w:tcPr>
            <w:tcW w:w="2232" w:type="dxa"/>
            <w:noWrap w:val="0"/>
            <w:vAlign w:val="center"/>
          </w:tcPr>
          <w:p w14:paraId="14BE64D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权限分配</w:t>
            </w:r>
          </w:p>
        </w:tc>
        <w:tc>
          <w:tcPr>
            <w:tcW w:w="5688" w:type="dxa"/>
            <w:noWrap w:val="0"/>
            <w:vAlign w:val="center"/>
          </w:tcPr>
          <w:p w14:paraId="68367995">
            <w:pPr>
              <w:rPr>
                <w:szCs w:val="21"/>
              </w:rPr>
            </w:pPr>
            <w:r>
              <w:rPr>
                <w:szCs w:val="21"/>
              </w:rPr>
              <w:t>可以对每个角色进行不同权限分配</w:t>
            </w:r>
          </w:p>
        </w:tc>
      </w:tr>
      <w:tr w14:paraId="0FB52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 w14:paraId="5C04F8A1">
            <w:pPr>
              <w:adjustRightInd w:val="0"/>
              <w:jc w:val="center"/>
              <w:rPr>
                <w:color w:val="FF0000"/>
                <w:szCs w:val="21"/>
              </w:rPr>
            </w:pPr>
            <w:r>
              <w:rPr>
                <w:szCs w:val="21"/>
              </w:rPr>
              <w:t>账号管理</w:t>
            </w:r>
          </w:p>
        </w:tc>
        <w:tc>
          <w:tcPr>
            <w:tcW w:w="2232" w:type="dxa"/>
            <w:noWrap w:val="0"/>
            <w:vAlign w:val="center"/>
          </w:tcPr>
          <w:p w14:paraId="261702A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新增</w:t>
            </w:r>
          </w:p>
        </w:tc>
        <w:tc>
          <w:tcPr>
            <w:tcW w:w="5688" w:type="dxa"/>
            <w:noWrap w:val="0"/>
            <w:vAlign w:val="center"/>
          </w:tcPr>
          <w:p w14:paraId="0C30B149">
            <w:pPr>
              <w:rPr>
                <w:szCs w:val="21"/>
              </w:rPr>
            </w:pPr>
            <w:r>
              <w:rPr>
                <w:szCs w:val="21"/>
              </w:rPr>
              <w:t>新增一个系统账号</w:t>
            </w:r>
          </w:p>
        </w:tc>
      </w:tr>
      <w:tr w14:paraId="03C3C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0243D89A">
            <w:pPr>
              <w:adjustRightIn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5DA75CE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编辑</w:t>
            </w:r>
          </w:p>
        </w:tc>
        <w:tc>
          <w:tcPr>
            <w:tcW w:w="5688" w:type="dxa"/>
            <w:noWrap w:val="0"/>
            <w:vAlign w:val="center"/>
          </w:tcPr>
          <w:p w14:paraId="5CDF9965">
            <w:pPr>
              <w:rPr>
                <w:szCs w:val="21"/>
              </w:rPr>
            </w:pPr>
            <w:r>
              <w:rPr>
                <w:szCs w:val="21"/>
              </w:rPr>
              <w:t>可以编辑修改账号信息</w:t>
            </w:r>
          </w:p>
        </w:tc>
      </w:tr>
      <w:tr w14:paraId="3887C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503CDBF0">
            <w:pPr>
              <w:adjustRightIn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1CC6855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查询</w:t>
            </w:r>
          </w:p>
        </w:tc>
        <w:tc>
          <w:tcPr>
            <w:tcW w:w="5688" w:type="dxa"/>
            <w:noWrap w:val="0"/>
            <w:vAlign w:val="center"/>
          </w:tcPr>
          <w:p w14:paraId="40032355">
            <w:pPr>
              <w:rPr>
                <w:szCs w:val="21"/>
              </w:rPr>
            </w:pPr>
            <w:r>
              <w:rPr>
                <w:szCs w:val="21"/>
              </w:rPr>
              <w:t>按条件进行查询</w:t>
            </w:r>
          </w:p>
        </w:tc>
      </w:tr>
      <w:tr w14:paraId="6BC9C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0FAF0BFD">
            <w:pPr>
              <w:adjustRightInd w:val="0"/>
              <w:jc w:val="center"/>
              <w:rPr>
                <w:color w:val="FF0000"/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5591705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删除</w:t>
            </w:r>
          </w:p>
        </w:tc>
        <w:tc>
          <w:tcPr>
            <w:tcW w:w="5688" w:type="dxa"/>
            <w:noWrap w:val="0"/>
            <w:vAlign w:val="center"/>
          </w:tcPr>
          <w:p w14:paraId="46AF8642">
            <w:pPr>
              <w:rPr>
                <w:szCs w:val="21"/>
              </w:rPr>
            </w:pPr>
            <w:r>
              <w:rPr>
                <w:szCs w:val="21"/>
              </w:rPr>
              <w:t>删除一个系统账号</w:t>
            </w:r>
          </w:p>
        </w:tc>
      </w:tr>
      <w:tr w14:paraId="60512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 w14:paraId="0EB978EA">
            <w:pPr>
              <w:jc w:val="center"/>
              <w:rPr>
                <w:color w:val="FF0000"/>
                <w:szCs w:val="21"/>
              </w:rPr>
            </w:pPr>
            <w:r>
              <w:rPr>
                <w:szCs w:val="21"/>
              </w:rPr>
              <w:t>任务管理</w:t>
            </w:r>
          </w:p>
        </w:tc>
        <w:tc>
          <w:tcPr>
            <w:tcW w:w="2232" w:type="dxa"/>
            <w:noWrap w:val="0"/>
            <w:vAlign w:val="center"/>
          </w:tcPr>
          <w:p w14:paraId="4DFCB17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查询</w:t>
            </w:r>
          </w:p>
        </w:tc>
        <w:tc>
          <w:tcPr>
            <w:tcW w:w="5688" w:type="dxa"/>
            <w:noWrap w:val="0"/>
            <w:vAlign w:val="center"/>
          </w:tcPr>
          <w:p w14:paraId="1141E414">
            <w:pPr>
              <w:rPr>
                <w:szCs w:val="21"/>
              </w:rPr>
            </w:pPr>
            <w:r>
              <w:rPr>
                <w:szCs w:val="21"/>
              </w:rPr>
              <w:t>按条件进行任务查询</w:t>
            </w:r>
          </w:p>
        </w:tc>
      </w:tr>
      <w:tr w14:paraId="4CDC3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036E9B5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5E8DEA9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手动完成</w:t>
            </w:r>
          </w:p>
        </w:tc>
        <w:tc>
          <w:tcPr>
            <w:tcW w:w="5688" w:type="dxa"/>
            <w:noWrap w:val="0"/>
            <w:vAlign w:val="center"/>
          </w:tcPr>
          <w:p w14:paraId="21B22C77">
            <w:pPr>
              <w:rPr>
                <w:szCs w:val="21"/>
              </w:rPr>
            </w:pPr>
            <w:r>
              <w:rPr>
                <w:szCs w:val="21"/>
              </w:rPr>
              <w:t>选择某条任务手动完成任务，并上传任务信息</w:t>
            </w:r>
          </w:p>
        </w:tc>
      </w:tr>
      <w:tr w14:paraId="22661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4DA11CED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548C36F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手动取消</w:t>
            </w:r>
          </w:p>
        </w:tc>
        <w:tc>
          <w:tcPr>
            <w:tcW w:w="5688" w:type="dxa"/>
            <w:noWrap w:val="0"/>
            <w:vAlign w:val="center"/>
          </w:tcPr>
          <w:p w14:paraId="0DE3854E">
            <w:pPr>
              <w:rPr>
                <w:szCs w:val="21"/>
              </w:rPr>
            </w:pPr>
            <w:r>
              <w:rPr>
                <w:szCs w:val="21"/>
              </w:rPr>
              <w:t>选择某条任务手动取消任务，并上传任务信息</w:t>
            </w:r>
          </w:p>
        </w:tc>
      </w:tr>
      <w:tr w14:paraId="6637E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013C01A4">
            <w:pPr>
              <w:adjustRightInd w:val="0"/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1056279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明细查询</w:t>
            </w:r>
          </w:p>
        </w:tc>
        <w:tc>
          <w:tcPr>
            <w:tcW w:w="5688" w:type="dxa"/>
            <w:noWrap w:val="0"/>
            <w:vAlign w:val="center"/>
          </w:tcPr>
          <w:p w14:paraId="335226B8">
            <w:pPr>
              <w:rPr>
                <w:szCs w:val="21"/>
              </w:rPr>
            </w:pPr>
            <w:r>
              <w:rPr>
                <w:szCs w:val="21"/>
              </w:rPr>
              <w:t>任务发送给PLC执行的明细过程查看</w:t>
            </w:r>
          </w:p>
        </w:tc>
      </w:tr>
      <w:tr w14:paraId="4D957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 w14:paraId="62E6C83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设备管理</w:t>
            </w:r>
          </w:p>
        </w:tc>
        <w:tc>
          <w:tcPr>
            <w:tcW w:w="2232" w:type="dxa"/>
            <w:noWrap w:val="0"/>
            <w:vAlign w:val="center"/>
          </w:tcPr>
          <w:p w14:paraId="12A8590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新增</w:t>
            </w:r>
          </w:p>
        </w:tc>
        <w:tc>
          <w:tcPr>
            <w:tcW w:w="5688" w:type="dxa"/>
            <w:noWrap w:val="0"/>
            <w:vAlign w:val="center"/>
          </w:tcPr>
          <w:p w14:paraId="70D8D481">
            <w:pPr>
              <w:rPr>
                <w:szCs w:val="21"/>
              </w:rPr>
            </w:pPr>
            <w:r>
              <w:rPr>
                <w:szCs w:val="21"/>
              </w:rPr>
              <w:t>新增一台设备信息</w:t>
            </w:r>
          </w:p>
        </w:tc>
      </w:tr>
      <w:tr w14:paraId="24317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6C67756C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62656A9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编辑</w:t>
            </w:r>
          </w:p>
        </w:tc>
        <w:tc>
          <w:tcPr>
            <w:tcW w:w="5688" w:type="dxa"/>
            <w:noWrap w:val="0"/>
            <w:vAlign w:val="center"/>
          </w:tcPr>
          <w:p w14:paraId="665A490F">
            <w:pPr>
              <w:rPr>
                <w:szCs w:val="21"/>
              </w:rPr>
            </w:pPr>
            <w:r>
              <w:rPr>
                <w:szCs w:val="21"/>
              </w:rPr>
              <w:t>编辑某台设备的信息</w:t>
            </w:r>
          </w:p>
        </w:tc>
      </w:tr>
      <w:tr w14:paraId="0F67E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441BD5A9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0E4163A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查询</w:t>
            </w:r>
          </w:p>
        </w:tc>
        <w:tc>
          <w:tcPr>
            <w:tcW w:w="5688" w:type="dxa"/>
            <w:noWrap w:val="0"/>
            <w:vAlign w:val="center"/>
          </w:tcPr>
          <w:p w14:paraId="41D37344">
            <w:pPr>
              <w:rPr>
                <w:szCs w:val="21"/>
              </w:rPr>
            </w:pPr>
            <w:r>
              <w:rPr>
                <w:szCs w:val="21"/>
              </w:rPr>
              <w:t>按条件查询设备信息</w:t>
            </w:r>
          </w:p>
        </w:tc>
      </w:tr>
      <w:tr w14:paraId="27AEB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090DD1FC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0480C3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删除</w:t>
            </w:r>
          </w:p>
        </w:tc>
        <w:tc>
          <w:tcPr>
            <w:tcW w:w="5688" w:type="dxa"/>
            <w:noWrap w:val="0"/>
            <w:vAlign w:val="center"/>
          </w:tcPr>
          <w:p w14:paraId="79CB8258">
            <w:pPr>
              <w:rPr>
                <w:szCs w:val="21"/>
              </w:rPr>
            </w:pPr>
            <w:r>
              <w:rPr>
                <w:szCs w:val="21"/>
              </w:rPr>
              <w:t>删除一台设备</w:t>
            </w:r>
          </w:p>
        </w:tc>
      </w:tr>
      <w:tr w14:paraId="33017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 w14:paraId="7DAAAF0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调度管理</w:t>
            </w:r>
          </w:p>
        </w:tc>
        <w:tc>
          <w:tcPr>
            <w:tcW w:w="2232" w:type="dxa"/>
            <w:noWrap w:val="0"/>
            <w:vAlign w:val="center"/>
          </w:tcPr>
          <w:p w14:paraId="5216841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启动调度</w:t>
            </w:r>
          </w:p>
        </w:tc>
        <w:tc>
          <w:tcPr>
            <w:tcW w:w="5688" w:type="dxa"/>
            <w:noWrap w:val="0"/>
            <w:vAlign w:val="center"/>
          </w:tcPr>
          <w:p w14:paraId="2257CB19">
            <w:pPr>
              <w:rPr>
                <w:szCs w:val="21"/>
              </w:rPr>
            </w:pPr>
            <w:r>
              <w:rPr>
                <w:szCs w:val="21"/>
              </w:rPr>
              <w:t>启动系统开始调度设备执行任务</w:t>
            </w:r>
          </w:p>
        </w:tc>
      </w:tr>
      <w:tr w14:paraId="064AB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513847F2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78DB75A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关闭调度</w:t>
            </w:r>
          </w:p>
        </w:tc>
        <w:tc>
          <w:tcPr>
            <w:tcW w:w="5688" w:type="dxa"/>
            <w:noWrap w:val="0"/>
            <w:vAlign w:val="center"/>
          </w:tcPr>
          <w:p w14:paraId="2C629954">
            <w:pPr>
              <w:rPr>
                <w:szCs w:val="21"/>
              </w:rPr>
            </w:pPr>
            <w:r>
              <w:rPr>
                <w:szCs w:val="21"/>
              </w:rPr>
              <w:t>停止系统调度设备执行任务</w:t>
            </w:r>
          </w:p>
        </w:tc>
      </w:tr>
      <w:tr w14:paraId="293FB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noWrap w:val="0"/>
            <w:vAlign w:val="center"/>
          </w:tcPr>
          <w:p w14:paraId="12B91E6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设备监控</w:t>
            </w:r>
          </w:p>
        </w:tc>
        <w:tc>
          <w:tcPr>
            <w:tcW w:w="2232" w:type="dxa"/>
            <w:noWrap w:val="0"/>
            <w:vAlign w:val="center"/>
          </w:tcPr>
          <w:p w14:paraId="5F0E96C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监控信息</w:t>
            </w:r>
          </w:p>
        </w:tc>
        <w:tc>
          <w:tcPr>
            <w:tcW w:w="5688" w:type="dxa"/>
            <w:noWrap w:val="0"/>
            <w:vAlign w:val="center"/>
          </w:tcPr>
          <w:p w14:paraId="155AF9DF">
            <w:pPr>
              <w:rPr>
                <w:szCs w:val="21"/>
              </w:rPr>
            </w:pPr>
            <w:r>
              <w:rPr>
                <w:szCs w:val="21"/>
              </w:rPr>
              <w:t>可根据现场设备不同定制监控各类设备信息</w:t>
            </w:r>
          </w:p>
        </w:tc>
      </w:tr>
      <w:tr w14:paraId="048E9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 w:val="0"/>
            <w:vAlign w:val="center"/>
          </w:tcPr>
          <w:p w14:paraId="5D3D5AC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日志管理</w:t>
            </w:r>
          </w:p>
        </w:tc>
        <w:tc>
          <w:tcPr>
            <w:tcW w:w="2232" w:type="dxa"/>
            <w:noWrap w:val="0"/>
            <w:vAlign w:val="center"/>
          </w:tcPr>
          <w:p w14:paraId="673F2C1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通讯日志</w:t>
            </w:r>
          </w:p>
        </w:tc>
        <w:tc>
          <w:tcPr>
            <w:tcW w:w="5688" w:type="dxa"/>
            <w:noWrap w:val="0"/>
            <w:vAlign w:val="center"/>
          </w:tcPr>
          <w:p w14:paraId="54C21431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主要是WCS报文的发送和PLC返回的内容的记录和分析</w:t>
            </w:r>
          </w:p>
        </w:tc>
      </w:tr>
      <w:tr w14:paraId="420B1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645C3D9B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345688D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运行日志</w:t>
            </w:r>
          </w:p>
        </w:tc>
        <w:tc>
          <w:tcPr>
            <w:tcW w:w="5688" w:type="dxa"/>
            <w:noWrap w:val="0"/>
            <w:vAlign w:val="center"/>
          </w:tcPr>
          <w:p w14:paraId="7CF2572B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设备每次接收命令完成动作的记录信息</w:t>
            </w:r>
          </w:p>
        </w:tc>
      </w:tr>
      <w:tr w14:paraId="66E45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1373DF15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7529322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报警日志</w:t>
            </w:r>
          </w:p>
        </w:tc>
        <w:tc>
          <w:tcPr>
            <w:tcW w:w="5688" w:type="dxa"/>
            <w:noWrap w:val="0"/>
            <w:vAlign w:val="center"/>
          </w:tcPr>
          <w:p w14:paraId="4436928A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设备每次发生故障或者预警的报警信息记录，便于跟踪、追溯和统计分析</w:t>
            </w:r>
          </w:p>
        </w:tc>
      </w:tr>
      <w:tr w14:paraId="20950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 w:val="0"/>
            <w:vAlign w:val="center"/>
          </w:tcPr>
          <w:p w14:paraId="358C04B9">
            <w:pPr>
              <w:jc w:val="center"/>
              <w:rPr>
                <w:szCs w:val="21"/>
              </w:rPr>
            </w:pPr>
          </w:p>
        </w:tc>
        <w:tc>
          <w:tcPr>
            <w:tcW w:w="2232" w:type="dxa"/>
            <w:noWrap w:val="0"/>
            <w:vAlign w:val="center"/>
          </w:tcPr>
          <w:p w14:paraId="532B63A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系统日志</w:t>
            </w:r>
          </w:p>
        </w:tc>
        <w:tc>
          <w:tcPr>
            <w:tcW w:w="5688" w:type="dxa"/>
            <w:noWrap w:val="0"/>
            <w:vAlign w:val="center"/>
          </w:tcPr>
          <w:p w14:paraId="644E06E0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包括WCS系统登录的信息和关键模块操作的信息，包括操作人、操作时间、操作事件等</w:t>
            </w:r>
          </w:p>
        </w:tc>
      </w:tr>
    </w:tbl>
    <w:p w14:paraId="1DD98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</w:pPr>
    </w:p>
    <w:p w14:paraId="59087562">
      <w:pPr>
        <w:outlineLvl w:val="9"/>
        <w:rPr>
          <w:rFonts w:hint="default"/>
          <w:lang w:val="en-US" w:eastAsia="zh-CN"/>
        </w:rPr>
      </w:pPr>
      <w:bookmarkStart w:id="94" w:name="_Toc896706600"/>
    </w:p>
    <w:p w14:paraId="2F63B030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95" w:name="_Toc12487"/>
      <w:r>
        <w:rPr>
          <w:rFonts w:hint="eastAsia" w:ascii="微软雅黑" w:hAnsi="微软雅黑" w:eastAsia="宋体" w:cs="Times New Roman"/>
          <w:b/>
          <w:sz w:val="28"/>
          <w:szCs w:val="28"/>
        </w:rPr>
        <w:t>接口示例</w:t>
      </w:r>
      <w:bookmarkEnd w:id="94"/>
      <w:bookmarkEnd w:id="95"/>
    </w:p>
    <w:p w14:paraId="1E6AE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以下只是正常流程的接口示例，具体需参照接口列表的接口所在的文档各场景回调示例不一一举出。</w:t>
      </w:r>
    </w:p>
    <w:p w14:paraId="0736FB7D">
      <w:pPr>
        <w:spacing w:before="120" w:after="120" w:line="288" w:lineRule="auto"/>
        <w:jc w:val="left"/>
      </w:pPr>
      <w:r>
        <w:rPr>
          <w:rFonts w:ascii="Arial" w:hAnsi="Arial" w:eastAsia="等线" w:cs="Arial"/>
          <w:sz w:val="22"/>
        </w:rPr>
        <w:t>step1:任务下发</w:t>
      </w:r>
    </w:p>
    <w:tbl>
      <w:tblPr>
        <w:tblStyle w:val="28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3A35180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AA214">
            <w:pPr>
              <w:spacing w:before="120" w:after="120" w:line="288" w:lineRule="auto"/>
              <w:jc w:val="left"/>
              <w:rPr>
                <w:rFonts w:ascii="Consolas" w:hAnsi="Consolas" w:eastAsia="宋体" w:cs="Consolas"/>
                <w:color w:val="646A73"/>
                <w:sz w:val="22"/>
              </w:rPr>
            </w:pPr>
            <w:r>
              <w:rPr>
                <w:rFonts w:ascii="Consolas" w:hAnsi="Consolas" w:eastAsia="Consolas" w:cs="Consolas"/>
                <w:color w:val="646A73"/>
                <w:sz w:val="22"/>
              </w:rPr>
              <w:t>JSON</w:t>
            </w:r>
          </w:p>
          <w:p w14:paraId="730FBD76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{</w:t>
            </w:r>
          </w:p>
          <w:p w14:paraId="337090AC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   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"TaskStatus"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: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64F9FC3C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   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"SourceAddress"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: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001-001-001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6A3A38F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   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"TargetAddress"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: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001-003-001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19414313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   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"PalletCode"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: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A123456789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3FA28B25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   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"TaskType"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: 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451A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100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,</w:t>
            </w:r>
          </w:p>
          <w:p w14:paraId="0E8CE37C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 xml:space="preserve">    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A31515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"TaskNum"</w:t>
            </w: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:</w:t>
            </w:r>
            <w:r>
              <w:rPr>
                <w:rFonts w:hint="eastAsia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1,</w:t>
            </w:r>
          </w:p>
          <w:p w14:paraId="68C7922E">
            <w:pPr>
              <w:keepNext w:val="0"/>
              <w:keepLines w:val="0"/>
              <w:widowControl/>
              <w:suppressLineNumbers w:val="0"/>
              <w:shd w:val="clear" w:fill="FFFFFE"/>
              <w:spacing w:line="240" w:lineRule="atLeast"/>
              <w:jc w:val="left"/>
              <w:rPr>
                <w:rFonts w:hint="default" w:ascii="Consolas" w:hAnsi="Consolas" w:eastAsia="Consolas" w:cs="Consolas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Consolas" w:hAnsi="Consolas" w:eastAsia="Consolas" w:cs="Consolas"/>
                <w:b w:val="0"/>
                <w:bCs w:val="0"/>
                <w:color w:val="000000"/>
                <w:kern w:val="0"/>
                <w:sz w:val="18"/>
                <w:szCs w:val="18"/>
                <w:shd w:val="clear" w:fill="FFFFFE"/>
                <w:lang w:val="en-US" w:eastAsia="zh-CN" w:bidi="ar"/>
              </w:rPr>
              <w:t>}</w:t>
            </w:r>
          </w:p>
          <w:p w14:paraId="0BEA6519">
            <w:pPr>
              <w:spacing w:before="120" w:after="120" w:line="288" w:lineRule="auto"/>
              <w:jc w:val="left"/>
            </w:pPr>
          </w:p>
        </w:tc>
      </w:tr>
    </w:tbl>
    <w:p w14:paraId="2CB9BF58">
      <w:pPr>
        <w:rPr>
          <w:rFonts w:hint="eastAsia" w:asciiTheme="minorEastAsia" w:hAnsiTheme="minorEastAsia"/>
        </w:rPr>
      </w:pPr>
    </w:p>
    <w:p w14:paraId="6CEE6277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96" w:name="_Toc2055075201"/>
      <w:bookmarkStart w:id="97" w:name="_Toc14281"/>
      <w:r>
        <w:rPr>
          <w:rFonts w:hint="eastAsia" w:ascii="微软雅黑" w:hAnsi="微软雅黑" w:eastAsia="宋体" w:cs="Times New Roman"/>
          <w:b/>
          <w:sz w:val="28"/>
          <w:szCs w:val="28"/>
        </w:rPr>
        <w:t>接口清单</w:t>
      </w:r>
      <w:bookmarkEnd w:id="96"/>
      <w:bookmarkEnd w:id="97"/>
    </w:p>
    <w:p w14:paraId="10446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接口文件仅供参考，实际与满足《作业流程》文件为准且不超过项目范围。</w:t>
      </w:r>
    </w:p>
    <w:p w14:paraId="2AD8B97E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98" w:name="_Toc13711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XXX接口</w:t>
      </w:r>
      <w:bookmarkEnd w:id="98"/>
    </w:p>
    <w:p w14:paraId="14D73BA0"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6F3DBAA8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</w:pPr>
      <w:bookmarkStart w:id="99" w:name="_Toc32009"/>
      <w:bookmarkStart w:id="100" w:name="_Toc1833944001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XXX接口</w:t>
      </w:r>
      <w:bookmarkEnd w:id="99"/>
    </w:p>
    <w:p w14:paraId="42B73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</w:pPr>
    </w:p>
    <w:p w14:paraId="4BC5C470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101" w:name="_Toc14509"/>
      <w:r>
        <w:rPr>
          <w:rFonts w:hint="eastAsia" w:ascii="微软雅黑" w:hAnsi="微软雅黑" w:eastAsia="宋体" w:cs="Times New Roman"/>
          <w:b/>
          <w:sz w:val="28"/>
          <w:szCs w:val="28"/>
        </w:rPr>
        <w:t>系统</w:t>
      </w:r>
      <w:bookmarkEnd w:id="100"/>
      <w:r>
        <w:rPr>
          <w:rFonts w:hint="eastAsia" w:ascii="微软雅黑" w:hAnsi="微软雅黑" w:eastAsia="宋体" w:cs="Times New Roman"/>
          <w:b/>
          <w:sz w:val="28"/>
          <w:szCs w:val="28"/>
          <w:lang w:val="en-US" w:eastAsia="zh-CN"/>
        </w:rPr>
        <w:t>介绍</w:t>
      </w:r>
      <w:bookmarkEnd w:id="101"/>
      <w:r>
        <w:rPr>
          <w:rFonts w:hint="eastAsia" w:ascii="微软雅黑" w:hAnsi="微软雅黑" w:eastAsia="宋体" w:cs="Times New Roman"/>
          <w:b/>
          <w:sz w:val="28"/>
          <w:szCs w:val="28"/>
        </w:rPr>
        <w:t xml:space="preserve"> </w:t>
      </w:r>
    </w:p>
    <w:p w14:paraId="7D0DEB34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02" w:name="_Toc264039416"/>
      <w:bookmarkStart w:id="103" w:name="_Toc4670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WMS</w:t>
      </w:r>
      <w:r>
        <w:rPr>
          <w:rFonts w:hint="eastAsia" w:ascii="微软雅黑" w:hAnsi="微软雅黑" w:eastAsia="宋体" w:cs="Times New Roman"/>
          <w:b/>
          <w:sz w:val="24"/>
          <w:szCs w:val="24"/>
        </w:rPr>
        <w:t>系统</w:t>
      </w:r>
      <w:bookmarkEnd w:id="102"/>
      <w:bookmarkEnd w:id="103"/>
    </w:p>
    <w:p w14:paraId="1A052706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04" w:name="_Toc1009250010"/>
      <w:bookmarkStart w:id="105" w:name="_Toc22531"/>
      <w:r>
        <w:rPr>
          <w:rFonts w:hint="eastAsia" w:ascii="微软雅黑" w:hAnsi="微软雅黑" w:eastAsia="宋体" w:cs="Times New Roman"/>
          <w:b/>
          <w:sz w:val="24"/>
          <w:szCs w:val="24"/>
        </w:rPr>
        <w:t>系统概述</w:t>
      </w:r>
      <w:bookmarkEnd w:id="104"/>
      <w:bookmarkEnd w:id="105"/>
    </w:p>
    <w:p w14:paraId="52B6D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本项目软件应用系统主要采用WMS系统，实现上游系统（ERP系统）与下游系统（WCS系统）的作业单据任务、库位管理、库存管理。WMS系统主要管理范围包括“任务下发、任务执行过程的记录、物料管理、货位管理”，所有任务信息通过ERP系统实时下推单据至WMS系统，执行结果由WCS系统实时上推WMS系统再将数据处理回调至ERP系统。</w:t>
      </w:r>
    </w:p>
    <w:p w14:paraId="4A9D1BF1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06" w:name="_Toc1639074064"/>
      <w:bookmarkStart w:id="107" w:name="_Toc26489"/>
      <w:r>
        <w:rPr>
          <w:rFonts w:hint="eastAsia" w:ascii="微软雅黑" w:hAnsi="微软雅黑" w:eastAsia="宋体" w:cs="Times New Roman"/>
          <w:b/>
          <w:sz w:val="24"/>
          <w:szCs w:val="24"/>
        </w:rPr>
        <w:t>系统界面</w:t>
      </w:r>
      <w:bookmarkEnd w:id="106"/>
      <w:bookmarkEnd w:id="107"/>
    </w:p>
    <w:p w14:paraId="0845C98A">
      <w:pPr>
        <w:jc w:val="center"/>
        <w:rPr>
          <w:rFonts w:hint="default" w:ascii="Times New Roman" w:hAnsi="Times New Roman" w:cs="Times New Roman"/>
        </w:rPr>
      </w:pPr>
      <w:r>
        <w:drawing>
          <wp:inline distT="0" distB="0" distL="114300" distR="114300">
            <wp:extent cx="5278120" cy="2672715"/>
            <wp:effectExtent l="0" t="0" r="17780" b="1333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WMS</w:t>
      </w:r>
      <w:r>
        <w:rPr>
          <w:rFonts w:hint="default" w:ascii="Times New Roman" w:hAnsi="Times New Roman" w:cs="Times New Roman"/>
        </w:rPr>
        <w:t>系统界面示意 图8-1</w:t>
      </w:r>
    </w:p>
    <w:p w14:paraId="683E8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上图为WMS系统功能界面页</w:t>
      </w:r>
    </w:p>
    <w:p w14:paraId="227C7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center"/>
        <w:textAlignment w:val="auto"/>
        <w:rPr>
          <w:rFonts w:hint="eastAsia" w:asciiTheme="minorEastAsia" w:hAnsiTheme="minorEastAsia"/>
        </w:rPr>
      </w:pPr>
      <w:r>
        <w:drawing>
          <wp:inline distT="0" distB="0" distL="114300" distR="114300">
            <wp:extent cx="5278120" cy="2672715"/>
            <wp:effectExtent l="0" t="0" r="17780" b="1333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585C0">
      <w:pPr>
        <w:jc w:val="center"/>
        <w:rPr>
          <w:rFonts w:hint="default" w:ascii="Times New Roman" w:hAnsi="Times New Roman" w:cs="Times New Roman" w:eastAsiaTheme="minorEastAsia"/>
          <w:b/>
          <w:bCs/>
          <w:lang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WMS</w:t>
      </w:r>
      <w:r>
        <w:rPr>
          <w:rFonts w:hint="default" w:ascii="Times New Roman" w:hAnsi="Times New Roman" w:cs="Times New Roman"/>
          <w:b/>
          <w:bCs/>
        </w:rPr>
        <w:t>系统接口界面示意 图8-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2</w:t>
      </w:r>
    </w:p>
    <w:p w14:paraId="186BD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inorEastAsia" w:hAnsiTheme="minorEastAsia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WMS提供标准的接口文件，可以支持用户在界面界面进行接口配置等深度作业。</w:t>
      </w:r>
    </w:p>
    <w:p w14:paraId="7D6EDD08"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drawing>
          <wp:inline distT="0" distB="0" distL="114300" distR="114300">
            <wp:extent cx="5278120" cy="2672715"/>
            <wp:effectExtent l="0" t="0" r="17780" b="13335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t>WMS</w:t>
      </w:r>
      <w:r>
        <w:rPr>
          <w:rFonts w:hint="default" w:ascii="Times New Roman" w:hAnsi="Times New Roman" w:cs="Times New Roman"/>
        </w:rPr>
        <w:t>系统接口配置界面示意 图8-</w:t>
      </w:r>
      <w:r>
        <w:rPr>
          <w:rFonts w:hint="default" w:ascii="Times New Roman" w:hAnsi="Times New Roman" w:cs="Times New Roman"/>
          <w:lang w:val="en-US" w:eastAsia="zh-CN"/>
        </w:rPr>
        <w:t>3</w:t>
      </w:r>
    </w:p>
    <w:p w14:paraId="7C6919CA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08" w:name="_Toc20020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WCS</w:t>
      </w:r>
      <w:r>
        <w:rPr>
          <w:rFonts w:hint="eastAsia" w:ascii="微软雅黑" w:hAnsi="微软雅黑" w:eastAsia="宋体" w:cs="Times New Roman"/>
          <w:b/>
          <w:sz w:val="24"/>
          <w:szCs w:val="24"/>
        </w:rPr>
        <w:t>系统</w:t>
      </w:r>
      <w:bookmarkEnd w:id="108"/>
    </w:p>
    <w:p w14:paraId="4E328687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09" w:name="_Toc29795"/>
      <w:r>
        <w:rPr>
          <w:rFonts w:hint="eastAsia" w:ascii="微软雅黑" w:hAnsi="微软雅黑" w:eastAsia="宋体" w:cs="Times New Roman"/>
          <w:b/>
          <w:sz w:val="24"/>
          <w:szCs w:val="24"/>
        </w:rPr>
        <w:t>系统概述</w:t>
      </w:r>
      <w:bookmarkEnd w:id="109"/>
    </w:p>
    <w:p w14:paraId="157E8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本项目软件应用系统主要采用WCS系统，实现上游系统（WMS系统）与下游设备（堆垛机Or RCS）的作业任务，实现自动搬运。WCS系统主要管理范围包括“任务下发、任务执行过程反馈、堆垛机调度、RCS调度”，所有任务信息通过WMS系统实时下推WCS系统，执行结果由WCS系统实时上推WMS系统。</w:t>
      </w:r>
    </w:p>
    <w:p w14:paraId="7026A04F">
      <w:pPr>
        <w:widowControl/>
        <w:numPr>
          <w:ilvl w:val="2"/>
          <w:numId w:val="3"/>
        </w:numPr>
        <w:tabs>
          <w:tab w:val="left" w:pos="945"/>
        </w:tabs>
        <w:adjustRightInd w:val="0"/>
        <w:snapToGrid w:val="0"/>
        <w:spacing w:before="156" w:beforeLines="50" w:line="360" w:lineRule="auto"/>
        <w:ind w:left="210" w:leftChars="100" w:firstLine="0"/>
        <w:jc w:val="left"/>
        <w:outlineLvl w:val="2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10" w:name="_Toc26020"/>
      <w:r>
        <w:rPr>
          <w:rFonts w:hint="eastAsia" w:ascii="微软雅黑" w:hAnsi="微软雅黑" w:eastAsia="宋体" w:cs="Times New Roman"/>
          <w:b/>
          <w:sz w:val="24"/>
          <w:szCs w:val="24"/>
        </w:rPr>
        <w:t>系统界面</w:t>
      </w:r>
      <w:bookmarkEnd w:id="110"/>
    </w:p>
    <w:p w14:paraId="02E6F4CE">
      <w:pPr>
        <w:jc w:val="center"/>
        <w:rPr>
          <w:rFonts w:hint="default" w:ascii="Times New Roman" w:hAnsi="Times New Roman" w:cs="Times New Roman"/>
        </w:rPr>
      </w:pPr>
      <w:r>
        <w:rPr>
          <w:rFonts w:hint="eastAsia" w:asciiTheme="minorEastAsia" w:hAnsiTheme="minorEastAsia"/>
        </w:rPr>
        <w:drawing>
          <wp:inline distT="0" distB="0" distL="114300" distR="114300">
            <wp:extent cx="5266690" cy="2458085"/>
            <wp:effectExtent l="9525" t="9525" r="12065" b="16510"/>
            <wp:docPr id="16" name="图片 16" descr="8173f435-0609-4208-b57c-aa49fc1d4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8173f435-0609-4208-b57c-aa49fc1d414a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580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lang w:val="en-US" w:eastAsia="zh-CN"/>
        </w:rPr>
        <w:t>WC</w:t>
      </w:r>
      <w:r>
        <w:rPr>
          <w:rFonts w:hint="default" w:ascii="Times New Roman" w:hAnsi="Times New Roman" w:cs="Times New Roman"/>
        </w:rPr>
        <w:t>S系统界面示意 图8-1</w:t>
      </w:r>
    </w:p>
    <w:p w14:paraId="2189F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上图为WCS系统功能界面页</w:t>
      </w:r>
    </w:p>
    <w:p w14:paraId="42F5A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jc w:val="center"/>
        <w:textAlignment w:val="auto"/>
        <w:rPr>
          <w:rFonts w:hint="eastAsia" w:asciiTheme="minorEastAsia" w:hAnsiTheme="minorEastAsia"/>
        </w:rPr>
      </w:pPr>
      <w:r>
        <w:rPr>
          <w:rFonts w:hint="default" w:asciiTheme="minorEastAsia" w:hAnsiTheme="minorEastAsia"/>
          <w:b/>
          <w:bCs/>
          <w:lang w:val="en-US"/>
        </w:rPr>
        <w:drawing>
          <wp:inline distT="0" distB="0" distL="114300" distR="114300">
            <wp:extent cx="6202680" cy="3180080"/>
            <wp:effectExtent l="9525" t="9525" r="20955" b="1079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31800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DD96A9">
      <w:pPr>
        <w:jc w:val="center"/>
        <w:rPr>
          <w:rFonts w:hint="default" w:ascii="Times New Roman" w:hAnsi="Times New Roman" w:cs="Times New Roman" w:eastAsiaTheme="minorEastAsia"/>
          <w:b/>
          <w:bCs/>
          <w:lang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WCS</w:t>
      </w:r>
      <w:r>
        <w:rPr>
          <w:rFonts w:hint="default" w:ascii="Times New Roman" w:hAnsi="Times New Roman" w:cs="Times New Roman"/>
          <w:b/>
          <w:bCs/>
        </w:rPr>
        <w:t>系统接口界面示意 图8-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2</w:t>
      </w:r>
    </w:p>
    <w:p w14:paraId="37036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inorEastAsia" w:hAnsiTheme="minorEastAsia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WCS提供标准的接口文件，可以支持用户在界面界面进行接口配置等深度作业。</w:t>
      </w:r>
    </w:p>
    <w:p w14:paraId="5CAD3274"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  <w:lang w:val="en-US"/>
        </w:rPr>
        <w:drawing>
          <wp:inline distT="0" distB="0" distL="114300" distR="114300">
            <wp:extent cx="6029960" cy="3736975"/>
            <wp:effectExtent l="9525" t="9525" r="10795" b="1778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37369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lang w:val="en-US" w:eastAsia="zh-CN"/>
        </w:rPr>
        <w:t>WCS</w:t>
      </w:r>
      <w:r>
        <w:rPr>
          <w:rFonts w:hint="default" w:ascii="Times New Roman" w:hAnsi="Times New Roman" w:cs="Times New Roman"/>
        </w:rPr>
        <w:t>系统接口配置界面示意 图8-</w:t>
      </w:r>
      <w:r>
        <w:rPr>
          <w:rFonts w:hint="default" w:ascii="Times New Roman" w:hAnsi="Times New Roman" w:cs="Times New Roman"/>
          <w:lang w:val="en-US" w:eastAsia="zh-CN"/>
        </w:rPr>
        <w:t>3</w:t>
      </w:r>
    </w:p>
    <w:p w14:paraId="37667A56"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p w14:paraId="2E40FA7E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111" w:name="_Toc826601427"/>
      <w:bookmarkStart w:id="112" w:name="_Toc19873"/>
      <w:r>
        <w:rPr>
          <w:rFonts w:hint="eastAsia" w:ascii="微软雅黑" w:hAnsi="微软雅黑" w:eastAsia="宋体" w:cs="Times New Roman"/>
          <w:b/>
          <w:sz w:val="28"/>
          <w:szCs w:val="28"/>
        </w:rPr>
        <w:t>服务器要求</w:t>
      </w:r>
      <w:bookmarkEnd w:id="111"/>
      <w:bookmarkEnd w:id="112"/>
    </w:p>
    <w:p w14:paraId="0DD68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支持乙方自采物理机或客户提供物理机、虚拟机两种场景下的系统部署工作。本文件中的推荐仅作为本项目的最低要求推荐，未考虑客户未来的业务拓展需求，客户可根据自身的具体规划做相应配置升级。本服务器要求为最低配置要求不包括对项目未来的拓展评估，用户可以根据自身企业的具体发展规划做相应配置提升。</w:t>
      </w:r>
    </w:p>
    <w:p w14:paraId="7A9096E0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</w:rPr>
      </w:pPr>
      <w:bookmarkStart w:id="113" w:name="_Toc618471146"/>
      <w:bookmarkStart w:id="114" w:name="_Toc27866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WCS</w:t>
      </w:r>
      <w:r>
        <w:rPr>
          <w:rFonts w:hint="eastAsia" w:ascii="微软雅黑" w:hAnsi="微软雅黑" w:eastAsia="宋体" w:cs="Times New Roman"/>
          <w:b/>
          <w:sz w:val="24"/>
          <w:szCs w:val="24"/>
        </w:rPr>
        <w:t>服务器要求</w:t>
      </w:r>
      <w:bookmarkEnd w:id="113"/>
      <w:bookmarkEnd w:id="114"/>
    </w:p>
    <w:tbl>
      <w:tblPr>
        <w:tblStyle w:val="73"/>
        <w:tblW w:w="963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906"/>
        <w:gridCol w:w="2028"/>
        <w:gridCol w:w="2018"/>
        <w:gridCol w:w="2050"/>
      </w:tblGrid>
      <w:tr w14:paraId="4A7B1F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39" w:type="dxa"/>
            <w:gridSpan w:val="5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auto" w:fill="D8D8D8" w:themeFill="background1" w:themeFillShade="D9"/>
            <w:vAlign w:val="center"/>
          </w:tcPr>
          <w:p w14:paraId="17F91A85">
            <w:pPr>
              <w:pStyle w:val="70"/>
              <w:spacing w:before="81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  <w:lang w:val="en-US" w:eastAsia="zh-CN"/>
              </w:rPr>
              <w:t>WCS</w:t>
            </w: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-服务器配置要求</w:t>
            </w:r>
          </w:p>
        </w:tc>
      </w:tr>
      <w:tr w14:paraId="66C539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8D8D8" w:themeFill="background1" w:themeFillShade="D9"/>
            <w:vAlign w:val="center"/>
          </w:tcPr>
          <w:p w14:paraId="70794FFB">
            <w:pPr>
              <w:pStyle w:val="70"/>
              <w:spacing w:before="297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类别</w:t>
            </w:r>
          </w:p>
        </w:tc>
        <w:tc>
          <w:tcPr>
            <w:tcW w:w="19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8D8D8" w:themeFill="background1" w:themeFillShade="D9"/>
            <w:vAlign w:val="center"/>
          </w:tcPr>
          <w:p w14:paraId="78FE50FB">
            <w:pPr>
              <w:pStyle w:val="70"/>
              <w:spacing w:before="29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配置规格  1</w:t>
            </w:r>
          </w:p>
        </w:tc>
        <w:tc>
          <w:tcPr>
            <w:tcW w:w="20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8D8D8" w:themeFill="background1" w:themeFillShade="D9"/>
            <w:vAlign w:val="center"/>
          </w:tcPr>
          <w:p w14:paraId="4F75B6AD">
            <w:pPr>
              <w:pStyle w:val="70"/>
              <w:spacing w:before="29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配置规格 2</w:t>
            </w:r>
          </w:p>
        </w:tc>
        <w:tc>
          <w:tcPr>
            <w:tcW w:w="20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8D8D8" w:themeFill="background1" w:themeFillShade="D9"/>
            <w:vAlign w:val="center"/>
          </w:tcPr>
          <w:p w14:paraId="71EDF0AC">
            <w:pPr>
              <w:pStyle w:val="70"/>
              <w:spacing w:before="29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配置规格 3</w:t>
            </w:r>
          </w:p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D8D8D8" w:themeFill="background1" w:themeFillShade="D9"/>
            <w:vAlign w:val="center"/>
          </w:tcPr>
          <w:p w14:paraId="5036F0EB">
            <w:pPr>
              <w:pStyle w:val="70"/>
              <w:spacing w:before="29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配置规格 4</w:t>
            </w:r>
          </w:p>
        </w:tc>
      </w:tr>
      <w:tr w14:paraId="70AC5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441339">
            <w:pPr>
              <w:pStyle w:val="70"/>
              <w:spacing w:before="7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7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</w:rPr>
              <w:t>品牌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A24135">
            <w:pPr>
              <w:pStyle w:val="70"/>
              <w:spacing w:before="7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7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</w:rPr>
              <w:t>联想、DELL、HP、浪潮等一线品牌均可</w:t>
            </w:r>
          </w:p>
        </w:tc>
      </w:tr>
      <w:tr w14:paraId="4F081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8724E3">
            <w:pPr>
              <w:pStyle w:val="70"/>
              <w:spacing w:before="77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</w:rPr>
              <w:t>操作系统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9ED96E">
            <w:pPr>
              <w:pStyle w:val="70"/>
              <w:spacing w:before="35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</w:rPr>
              <w:t>Windows Server 201</w:t>
            </w:r>
            <w:r>
              <w:rPr>
                <w:rFonts w:hint="default" w:ascii="Times New Roman" w:hAnsi="Times New Roman" w:eastAsia="宋体" w:cs="Times New Roman"/>
                <w:spacing w:val="-7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版本以上</w:t>
            </w:r>
          </w:p>
        </w:tc>
      </w:tr>
      <w:tr w14:paraId="3BBE3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650E6B">
            <w:pPr>
              <w:pStyle w:val="70"/>
              <w:spacing w:before="77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</w:rPr>
              <w:t>数据库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E6E3CE">
            <w:pPr>
              <w:pStyle w:val="70"/>
              <w:spacing w:before="35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</w:rPr>
              <w:t>SQL Server 20</w:t>
            </w:r>
            <w:r>
              <w:rPr>
                <w:rFonts w:hint="default" w:ascii="Times New Roman" w:hAnsi="Times New Roman" w:eastAsia="宋体" w:cs="Times New Roman"/>
                <w:spacing w:val="-7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shd w:val="clear" w:color="auto" w:fill="FFFFFF"/>
              </w:rPr>
              <w:t>MySQL Community Edition</w:t>
            </w:r>
          </w:p>
        </w:tc>
      </w:tr>
      <w:tr w14:paraId="366BD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D8CA48">
            <w:pPr>
              <w:pStyle w:val="70"/>
              <w:spacing w:before="81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</w:rPr>
              <w:t>机架单元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D4DE95">
            <w:pPr>
              <w:pStyle w:val="70"/>
              <w:spacing w:before="108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</w:rPr>
              <w:t>1U</w:t>
            </w:r>
          </w:p>
        </w:tc>
      </w:tr>
      <w:tr w14:paraId="158D4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16F299">
            <w:pPr>
              <w:pStyle w:val="70"/>
              <w:spacing w:before="78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</w:rPr>
              <w:t>机箱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65C6EE">
            <w:pPr>
              <w:pStyle w:val="70"/>
              <w:spacing w:before="80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</w:rPr>
              <w:t>4 x</w:t>
            </w:r>
            <w:r>
              <w:rPr>
                <w:rFonts w:hint="default" w:ascii="Times New Roman" w:hAnsi="Times New Roman" w:eastAsia="宋体" w:cs="Times New Roman"/>
                <w:spacing w:val="1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</w:rPr>
              <w:t>3.5"背板</w:t>
            </w:r>
          </w:p>
        </w:tc>
      </w:tr>
      <w:tr w14:paraId="097D32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2E4D4B">
            <w:pPr>
              <w:pStyle w:val="70"/>
              <w:spacing w:before="103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</w:rPr>
              <w:t>CPU</w:t>
            </w:r>
          </w:p>
        </w:tc>
        <w:tc>
          <w:tcPr>
            <w:tcW w:w="19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5813E8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2.80GHz, 4C/4T</w:t>
            </w:r>
          </w:p>
        </w:tc>
        <w:tc>
          <w:tcPr>
            <w:tcW w:w="20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008711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3.00GHz, 4C/8T</w:t>
            </w:r>
          </w:p>
        </w:tc>
        <w:tc>
          <w:tcPr>
            <w:tcW w:w="20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4A8493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2.90GHz, 6C/12T</w:t>
            </w:r>
          </w:p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CCB65F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2.80GHz, 8C/16T</w:t>
            </w:r>
          </w:p>
        </w:tc>
      </w:tr>
      <w:tr w14:paraId="06D55B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06559A">
            <w:pPr>
              <w:pStyle w:val="70"/>
              <w:spacing w:before="10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6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</w:rPr>
              <w:t>参考估价</w:t>
            </w:r>
          </w:p>
          <w:p w14:paraId="450EC245">
            <w:pPr>
              <w:pStyle w:val="70"/>
              <w:spacing w:before="10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6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</w:rPr>
              <w:t>（万元）</w:t>
            </w:r>
          </w:p>
        </w:tc>
        <w:tc>
          <w:tcPr>
            <w:tcW w:w="19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3FBC49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1</w:t>
            </w:r>
          </w:p>
        </w:tc>
        <w:tc>
          <w:tcPr>
            <w:tcW w:w="20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2739F3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1.5</w:t>
            </w:r>
          </w:p>
        </w:tc>
        <w:tc>
          <w:tcPr>
            <w:tcW w:w="20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E6FBA9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2.5</w:t>
            </w:r>
          </w:p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51812D">
            <w:pPr>
              <w:pStyle w:val="70"/>
              <w:spacing w:before="104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3"/>
                <w:kern w:val="0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3.5</w:t>
            </w:r>
          </w:p>
        </w:tc>
      </w:tr>
      <w:tr w14:paraId="07214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2C3015">
            <w:pPr>
              <w:pStyle w:val="70"/>
              <w:spacing w:before="81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内存</w:t>
            </w:r>
          </w:p>
        </w:tc>
        <w:tc>
          <w:tcPr>
            <w:tcW w:w="19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3D5CBD">
            <w:pPr>
              <w:pStyle w:val="70"/>
              <w:spacing w:before="105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32GB</w:t>
            </w:r>
            <w:r>
              <w:rPr>
                <w:rFonts w:hint="default" w:ascii="Times New Roman" w:hAnsi="Times New Roman" w:eastAsia="宋体" w:cs="Times New Roman"/>
                <w:spacing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4"/>
              </w:rPr>
              <w:t>ECC</w:t>
            </w:r>
          </w:p>
        </w:tc>
        <w:tc>
          <w:tcPr>
            <w:tcW w:w="609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1B8099">
            <w:pPr>
              <w:pStyle w:val="70"/>
              <w:spacing w:before="105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</w:rPr>
              <w:t>64GB</w:t>
            </w:r>
            <w:r>
              <w:rPr>
                <w:rFonts w:hint="default" w:ascii="Times New Roman" w:hAnsi="Times New Roman" w:eastAsia="宋体" w:cs="Times New Roman"/>
                <w:spacing w:val="19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4"/>
              </w:rPr>
              <w:t>ECC</w:t>
            </w:r>
          </w:p>
        </w:tc>
      </w:tr>
      <w:tr w14:paraId="3F117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D7D641">
            <w:pPr>
              <w:pStyle w:val="70"/>
              <w:spacing w:before="80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</w:rPr>
              <w:t>固态硬盘</w:t>
            </w:r>
          </w:p>
        </w:tc>
        <w:tc>
          <w:tcPr>
            <w:tcW w:w="19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43456A">
            <w:pPr>
              <w:pStyle w:val="70"/>
              <w:spacing w:before="38" w:line="247" w:lineRule="auto"/>
              <w:ind w:right="180"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</w:rPr>
              <w:t>480GB SATA（</w:t>
            </w:r>
            <w:r>
              <w:rPr>
                <w:rFonts w:hint="default" w:ascii="Times New Roman" w:hAnsi="Times New Roman" w:eastAsia="宋体" w:cs="Times New Roman"/>
                <w:spacing w:val="-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</w:rPr>
              <w:t>1</w:t>
            </w:r>
            <w:r>
              <w:rPr>
                <w:rFonts w:hint="default" w:ascii="Times New Roman" w:hAnsi="Times New Roman" w:eastAsia="宋体" w:cs="Times New Roma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DWPD）x</w:t>
            </w:r>
            <w:r>
              <w:rPr>
                <w:rFonts w:hint="default" w:ascii="Times New Roman" w:hAnsi="Times New Roman" w:eastAsia="宋体" w:cs="Times New Roman"/>
                <w:spacing w:val="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2</w:t>
            </w:r>
            <w:r>
              <w:rPr>
                <w:rFonts w:hint="default" w:ascii="Times New Roman" w:hAnsi="Times New Roman" w:eastAsia="宋体" w:cs="Times New Roma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4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-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4"/>
              </w:rPr>
              <w:t>RAID1）</w:t>
            </w:r>
          </w:p>
        </w:tc>
        <w:tc>
          <w:tcPr>
            <w:tcW w:w="609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78C45B">
            <w:pPr>
              <w:pStyle w:val="70"/>
              <w:spacing w:before="90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</w:rPr>
              <w:t>1.92TB SATA（</w:t>
            </w:r>
            <w:r>
              <w:rPr>
                <w:rFonts w:hint="default" w:ascii="Times New Roman" w:hAnsi="Times New Roman" w:eastAsia="宋体" w:cs="Times New Roman"/>
                <w:spacing w:val="-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1</w:t>
            </w:r>
            <w:r>
              <w:rPr>
                <w:rFonts w:hint="default" w:ascii="Times New Roman" w:hAnsi="Times New Roman" w:eastAsia="宋体" w:cs="Times New Roman"/>
                <w:spacing w:val="1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DWPD）x 2（</w:t>
            </w:r>
            <w:r>
              <w:rPr>
                <w:rFonts w:hint="default" w:ascii="Times New Roman" w:hAnsi="Times New Roman" w:eastAsia="宋体" w:cs="Times New Roman"/>
                <w:spacing w:val="-2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RAID1）</w:t>
            </w:r>
          </w:p>
        </w:tc>
      </w:tr>
      <w:tr w14:paraId="49BFFF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BAB570">
            <w:pPr>
              <w:pStyle w:val="70"/>
              <w:spacing w:before="81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</w:rPr>
              <w:t>磁盘阵列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CF536B">
            <w:pPr>
              <w:pStyle w:val="70"/>
              <w:spacing w:before="38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</w:rPr>
              <w:t>硬件</w:t>
            </w:r>
            <w:r>
              <w:rPr>
                <w:rFonts w:hint="default" w:ascii="Times New Roman" w:hAnsi="Times New Roman" w:eastAsia="宋体" w:cs="Times New Roman"/>
                <w:spacing w:val="13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RAID 适配器，</w:t>
            </w:r>
            <w:r>
              <w:rPr>
                <w:rFonts w:hint="default" w:ascii="Times New Roman" w:hAnsi="Times New Roman" w:eastAsia="宋体" w:cs="Times New Roman"/>
                <w:spacing w:val="13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RAID</w:t>
            </w:r>
            <w:r>
              <w:rPr>
                <w:rFonts w:hint="default" w:ascii="Times New Roman" w:hAnsi="Times New Roman" w:eastAsia="宋体" w:cs="Times New Roman"/>
                <w:spacing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</w:rPr>
              <w:t>1，无缓存（</w:t>
            </w:r>
            <w:r>
              <w:rPr>
                <w:rFonts w:hint="default" w:ascii="Times New Roman" w:hAnsi="Times New Roman" w:eastAsia="宋体" w:cs="Times New Roman"/>
                <w:spacing w:val="-8"/>
              </w:rPr>
              <w:t>例如：</w:t>
            </w:r>
            <w:r>
              <w:rPr>
                <w:rFonts w:hint="default" w:ascii="Times New Roman" w:hAnsi="Times New Roman" w:eastAsia="宋体" w:cs="Times New Roman"/>
                <w:spacing w:val="1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8"/>
              </w:rPr>
              <w:t>DELL H345）</w:t>
            </w:r>
          </w:p>
        </w:tc>
      </w:tr>
      <w:tr w14:paraId="16FB0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BA6E60">
            <w:pPr>
              <w:pStyle w:val="70"/>
              <w:spacing w:before="82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</w:rPr>
              <w:t>网卡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2949A5">
            <w:pPr>
              <w:pStyle w:val="70"/>
              <w:spacing w:before="78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</w:rPr>
              <w:t>板载，双端口 1</w:t>
            </w:r>
            <w:r>
              <w:rPr>
                <w:rFonts w:hint="default" w:ascii="Times New Roman" w:hAnsi="Times New Roman" w:eastAsia="宋体" w:cs="Times New Roman"/>
              </w:rPr>
              <w:t>GB</w:t>
            </w:r>
          </w:p>
        </w:tc>
      </w:tr>
      <w:tr w14:paraId="4A5C45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520C1A">
            <w:pPr>
              <w:pStyle w:val="70"/>
              <w:spacing w:before="81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</w:rPr>
              <w:t>附加网卡</w:t>
            </w:r>
          </w:p>
        </w:tc>
        <w:tc>
          <w:tcPr>
            <w:tcW w:w="595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A70F3A">
            <w:pPr>
              <w:pStyle w:val="70"/>
              <w:spacing w:before="108" w:line="231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3"/>
              </w:rPr>
              <w:t>N /</w:t>
            </w:r>
            <w:r>
              <w:rPr>
                <w:rFonts w:hint="default" w:ascii="Times New Roman" w:hAnsi="Times New Roman" w:eastAsia="宋体" w:cs="Times New Roman"/>
                <w:spacing w:val="-1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3"/>
              </w:rPr>
              <w:t>A</w:t>
            </w:r>
          </w:p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FFC604">
            <w:pPr>
              <w:pStyle w:val="70"/>
              <w:spacing w:before="102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</w:rPr>
              <w:t>Intel</w:t>
            </w:r>
            <w:r>
              <w:rPr>
                <w:rFonts w:hint="default" w:ascii="Times New Roman" w:hAnsi="Times New Roman" w:eastAsia="宋体" w:cs="Times New Roman"/>
                <w:spacing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</w:rPr>
              <w:t>I350 T2</w:t>
            </w:r>
            <w:r>
              <w:rPr>
                <w:rFonts w:hint="default" w:ascii="Times New Roman" w:hAnsi="Times New Roman" w:eastAsia="宋体" w:cs="Times New Roman"/>
                <w:spacing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</w:rPr>
              <w:t>1GB</w:t>
            </w:r>
          </w:p>
        </w:tc>
      </w:tr>
      <w:tr w14:paraId="7067BF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EE5B61">
            <w:pPr>
              <w:pStyle w:val="70"/>
              <w:spacing w:before="82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</w:rPr>
              <w:t>许可证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3481E3">
            <w:pPr>
              <w:pStyle w:val="70"/>
              <w:spacing w:before="38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"/>
              </w:rPr>
              <w:t>基本许可证  (例如:</w:t>
            </w:r>
            <w:r>
              <w:rPr>
                <w:rFonts w:hint="default" w:ascii="Times New Roman" w:hAnsi="Times New Roman" w:eastAsia="宋体" w:cs="Times New Roman"/>
                <w:spacing w:val="3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</w:rPr>
              <w:t>IDRAC express)</w:t>
            </w:r>
          </w:p>
        </w:tc>
      </w:tr>
      <w:tr w14:paraId="5B1CF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302981">
            <w:pPr>
              <w:pStyle w:val="70"/>
              <w:spacing w:before="81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</w:rPr>
              <w:t>光盘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B530C6">
            <w:pPr>
              <w:pStyle w:val="70"/>
              <w:spacing w:before="109" w:line="231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13"/>
              </w:rPr>
              <w:t>N /</w:t>
            </w:r>
            <w:r>
              <w:rPr>
                <w:rFonts w:hint="default" w:ascii="Times New Roman" w:hAnsi="Times New Roman" w:eastAsia="宋体" w:cs="Times New Roman"/>
                <w:spacing w:val="-1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3"/>
              </w:rPr>
              <w:t>A</w:t>
            </w:r>
          </w:p>
        </w:tc>
      </w:tr>
      <w:tr w14:paraId="24EA0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9166EF">
            <w:pPr>
              <w:pStyle w:val="70"/>
              <w:spacing w:before="84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</w:rPr>
              <w:t>电源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268C88">
            <w:pPr>
              <w:pStyle w:val="70"/>
              <w:spacing w:before="38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</w:rPr>
              <w:t>双路，热插拔，冗余电源（1+1）</w:t>
            </w:r>
          </w:p>
        </w:tc>
      </w:tr>
      <w:tr w14:paraId="7BDEE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6581C1">
            <w:pPr>
              <w:pStyle w:val="70"/>
              <w:spacing w:before="82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</w:rPr>
              <w:t>机架导轨</w:t>
            </w:r>
          </w:p>
        </w:tc>
        <w:tc>
          <w:tcPr>
            <w:tcW w:w="80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2F97CA">
            <w:pPr>
              <w:pStyle w:val="70"/>
              <w:spacing w:before="83"/>
              <w:ind w:firstLine="0" w:firstLineChars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</w:rPr>
              <w:t>滑轨</w:t>
            </w:r>
          </w:p>
        </w:tc>
      </w:tr>
    </w:tbl>
    <w:p w14:paraId="525251B6">
      <w:pPr>
        <w:widowControl/>
        <w:numPr>
          <w:ilvl w:val="1"/>
          <w:numId w:val="3"/>
        </w:numPr>
        <w:tabs>
          <w:tab w:val="left" w:pos="720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1"/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</w:pPr>
      <w:bookmarkStart w:id="115" w:name="_Toc1511284884"/>
      <w:bookmarkStart w:id="116" w:name="_Toc10831"/>
      <w:r>
        <w:rPr>
          <w:rFonts w:hint="eastAsia" w:ascii="微软雅黑" w:hAnsi="微软雅黑" w:eastAsia="宋体" w:cs="Times New Roman"/>
          <w:b/>
          <w:sz w:val="24"/>
          <w:szCs w:val="24"/>
          <w:lang w:val="en-US" w:eastAsia="zh-CN"/>
        </w:rPr>
        <w:t>机房要求</w:t>
      </w:r>
      <w:bookmarkEnd w:id="115"/>
      <w:bookmarkEnd w:id="116"/>
    </w:p>
    <w:p w14:paraId="3B15A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服务器放置在客户提供的机房中。机房应满足以下要求：</w:t>
      </w:r>
    </w:p>
    <w:p w14:paraId="48AD180F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供电要求：配置UPS，浪涌保护器，空气开关</w:t>
      </w:r>
    </w:p>
    <w:p w14:paraId="3380CE84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温度要求：23</w:t>
      </w:r>
      <w:r>
        <w:rPr>
          <w:rFonts w:hint="default" w:ascii="Times New Roman" w:hAnsi="Times New Roman" w:eastAsia="宋体" w:cs="Times New Roman"/>
        </w:rPr>
        <w:t>℃</w:t>
      </w:r>
      <w:r>
        <w:rPr>
          <w:rFonts w:hint="default" w:ascii="Times New Roman" w:hAnsi="Times New Roman" w:cs="Times New Roman"/>
        </w:rPr>
        <w:t>±2</w:t>
      </w:r>
      <w:r>
        <w:rPr>
          <w:rFonts w:hint="default" w:ascii="Times New Roman" w:hAnsi="Times New Roman" w:eastAsia="宋体" w:cs="Times New Roman"/>
        </w:rPr>
        <w:t>℃</w:t>
      </w:r>
      <w:r>
        <w:rPr>
          <w:rFonts w:hint="default" w:ascii="Times New Roman" w:hAnsi="Times New Roman" w:cs="Times New Roman"/>
        </w:rPr>
        <w:t>(夏季)、20</w:t>
      </w:r>
      <w:r>
        <w:rPr>
          <w:rFonts w:hint="default" w:ascii="Times New Roman" w:hAnsi="Times New Roman" w:eastAsia="宋体" w:cs="Times New Roman"/>
        </w:rPr>
        <w:t>℃</w:t>
      </w:r>
      <w:r>
        <w:rPr>
          <w:rFonts w:hint="default" w:ascii="Times New Roman" w:hAnsi="Times New Roman" w:cs="Times New Roman"/>
        </w:rPr>
        <w:t>±2</w:t>
      </w:r>
      <w:r>
        <w:rPr>
          <w:rFonts w:hint="default" w:ascii="Times New Roman" w:hAnsi="Times New Roman" w:eastAsia="宋体" w:cs="Times New Roman"/>
        </w:rPr>
        <w:t>℃</w:t>
      </w:r>
      <w:r>
        <w:rPr>
          <w:rFonts w:hint="default" w:ascii="Times New Roman" w:hAnsi="Times New Roman" w:cs="Times New Roman"/>
        </w:rPr>
        <w:t>（冬季）</w:t>
      </w:r>
    </w:p>
    <w:p w14:paraId="6F7F7A56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湿度要求：55%±10%</w:t>
      </w:r>
    </w:p>
    <w:p w14:paraId="08853406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湿度变化率：＜5%不凝露</w:t>
      </w:r>
    </w:p>
    <w:p w14:paraId="79298A8A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空气要求：每升空气中≥ 0.5μ 的微尘粒数≤ 18000 粒</w:t>
      </w:r>
    </w:p>
    <w:p w14:paraId="49B4D175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静电要求：机柜、设备的金属外壳等设备防雷接地、防静电接地、屏蔽接地，机房宜铺设防静电活动地板</w:t>
      </w:r>
    </w:p>
    <w:p w14:paraId="38D46320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防火要求：配备自动灭火系统，火灾自动报警系统</w:t>
      </w:r>
    </w:p>
    <w:p w14:paraId="46EB9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技术标准应包括但不限于：</w:t>
      </w:r>
    </w:p>
    <w:p w14:paraId="56600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《电子信息系统机房设计规范》 （GB 50174-2008）</w:t>
      </w:r>
    </w:p>
    <w:p w14:paraId="3C8A3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《电子计算机场地通用规范》   （GB/T-2887-2000）</w:t>
      </w:r>
    </w:p>
    <w:p w14:paraId="1E739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《防静电活动地板通用规范》   （SJ/T10796-2001）</w:t>
      </w:r>
    </w:p>
    <w:p w14:paraId="53730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《建筑设计防火规范》         （GB50016-2006）</w:t>
      </w:r>
    </w:p>
    <w:p w14:paraId="5F953911">
      <w:pPr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117" w:name="_Toc1875952319"/>
      <w:r>
        <w:rPr>
          <w:rFonts w:hint="eastAsia" w:ascii="微软雅黑" w:hAnsi="微软雅黑" w:eastAsia="宋体" w:cs="Times New Roman"/>
          <w:b/>
          <w:sz w:val="28"/>
          <w:szCs w:val="28"/>
        </w:rPr>
        <w:br w:type="page"/>
      </w:r>
    </w:p>
    <w:p w14:paraId="7F24709D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118" w:name="_Toc32386"/>
      <w:r>
        <w:rPr>
          <w:rFonts w:hint="eastAsia" w:ascii="微软雅黑" w:hAnsi="微软雅黑" w:eastAsia="宋体" w:cs="Times New Roman"/>
          <w:b/>
          <w:sz w:val="28"/>
          <w:szCs w:val="28"/>
        </w:rPr>
        <w:t>电视看板要求</w:t>
      </w:r>
      <w:bookmarkEnd w:id="117"/>
      <w:bookmarkEnd w:id="118"/>
    </w:p>
    <w:p w14:paraId="34012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要求：为展示显示效果尺寸 建议不小于55寸，系统为Android 系统。</w:t>
      </w:r>
    </w:p>
    <w:p w14:paraId="7B411472">
      <w:pPr>
        <w:widowControl/>
        <w:numPr>
          <w:ilvl w:val="0"/>
          <w:numId w:val="3"/>
        </w:numPr>
        <w:tabs>
          <w:tab w:val="left" w:pos="525"/>
        </w:tabs>
        <w:adjustRightInd w:val="0"/>
        <w:snapToGrid w:val="0"/>
        <w:spacing w:before="156" w:beforeLines="50" w:line="360" w:lineRule="auto"/>
        <w:ind w:left="0" w:firstLine="0"/>
        <w:jc w:val="left"/>
        <w:outlineLvl w:val="0"/>
        <w:rPr>
          <w:rFonts w:hint="eastAsia" w:ascii="微软雅黑" w:hAnsi="微软雅黑" w:eastAsia="宋体" w:cs="Times New Roman"/>
          <w:b/>
          <w:sz w:val="28"/>
          <w:szCs w:val="28"/>
        </w:rPr>
      </w:pPr>
      <w:bookmarkStart w:id="119" w:name="_Toc1755691888"/>
      <w:bookmarkStart w:id="120" w:name="_Toc606"/>
      <w:r>
        <w:rPr>
          <w:rFonts w:hint="eastAsia" w:ascii="微软雅黑" w:hAnsi="微软雅黑" w:eastAsia="宋体" w:cs="Times New Roman"/>
          <w:b/>
          <w:sz w:val="28"/>
          <w:szCs w:val="28"/>
        </w:rPr>
        <w:t>文件签字栏</w:t>
      </w:r>
      <w:bookmarkEnd w:id="119"/>
      <w:bookmarkEnd w:id="120"/>
    </w:p>
    <w:p w14:paraId="0ABA6130">
      <w:pPr>
        <w:ind w:firstLine="420"/>
        <w:rPr>
          <w:rFonts w:hint="eastAsia" w:asciiTheme="minorEastAsia" w:hAnsiTheme="minorEastAsia"/>
        </w:rPr>
      </w:pPr>
    </w:p>
    <w:tbl>
      <w:tblPr>
        <w:tblStyle w:val="28"/>
        <w:tblW w:w="8505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60" w:type="dxa"/>
          <w:left w:w="120" w:type="dxa"/>
          <w:bottom w:w="30" w:type="dxa"/>
          <w:right w:w="120" w:type="dxa"/>
        </w:tblCellMar>
      </w:tblPr>
      <w:tblGrid>
        <w:gridCol w:w="4182"/>
        <w:gridCol w:w="4323"/>
      </w:tblGrid>
      <w:tr w14:paraId="342A102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60" w:type="dxa"/>
            <w:left w:w="120" w:type="dxa"/>
            <w:bottom w:w="30" w:type="dxa"/>
            <w:right w:w="120" w:type="dxa"/>
          </w:tblCellMar>
        </w:tblPrEx>
        <w:trPr>
          <w:trHeight w:val="500" w:hRule="atLeast"/>
        </w:trPr>
        <w:tc>
          <w:tcPr>
            <w:tcW w:w="41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2F2703">
            <w:pPr>
              <w:ind w:firstLine="21" w:firstLineChars="1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</w:rPr>
              <w:t>项目甲方</w:t>
            </w:r>
          </w:p>
        </w:tc>
        <w:tc>
          <w:tcPr>
            <w:tcW w:w="43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F856E3">
            <w:pPr>
              <w:ind w:firstLine="21" w:firstLineChars="1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项目乙方</w:t>
            </w:r>
          </w:p>
        </w:tc>
      </w:tr>
      <w:tr w14:paraId="271BF84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60" w:type="dxa"/>
            <w:left w:w="120" w:type="dxa"/>
            <w:bottom w:w="30" w:type="dxa"/>
            <w:right w:w="120" w:type="dxa"/>
          </w:tblCellMar>
        </w:tblPrEx>
        <w:trPr>
          <w:trHeight w:val="500" w:hRule="atLeast"/>
        </w:trPr>
        <w:tc>
          <w:tcPr>
            <w:tcW w:w="41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BB02F5">
            <w:pPr>
              <w:ind w:firstLine="21" w:firstLineChars="1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宋体" w:cs="Times New Roman"/>
              </w:rPr>
              <w:t>技术有限公司</w:t>
            </w:r>
          </w:p>
        </w:tc>
        <w:tc>
          <w:tcPr>
            <w:tcW w:w="43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6D59D4">
            <w:pPr>
              <w:ind w:firstLine="21" w:firstLineChars="1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XXXX技术</w:t>
            </w:r>
            <w:r>
              <w:rPr>
                <w:rFonts w:hint="default" w:ascii="Times New Roman" w:hAnsi="Times New Roman" w:eastAsia="宋体" w:cs="Times New Roman"/>
              </w:rPr>
              <w:t>有限公司</w:t>
            </w:r>
          </w:p>
        </w:tc>
      </w:tr>
      <w:tr w14:paraId="745392D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60" w:type="dxa"/>
            <w:left w:w="120" w:type="dxa"/>
            <w:bottom w:w="30" w:type="dxa"/>
            <w:right w:w="120" w:type="dxa"/>
          </w:tblCellMar>
        </w:tblPrEx>
        <w:trPr>
          <w:trHeight w:val="2632" w:hRule="atLeast"/>
        </w:trPr>
        <w:tc>
          <w:tcPr>
            <w:tcW w:w="41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7108299">
            <w:pPr>
              <w:ind w:firstLine="21" w:firstLineChars="1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签字栏：</w:t>
            </w:r>
          </w:p>
        </w:tc>
        <w:tc>
          <w:tcPr>
            <w:tcW w:w="43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4F6F1A5F">
            <w:pPr>
              <w:ind w:firstLine="21" w:firstLineChars="1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签字栏：</w:t>
            </w:r>
          </w:p>
        </w:tc>
      </w:tr>
      <w:tr w14:paraId="4644D1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60" w:type="dxa"/>
            <w:left w:w="120" w:type="dxa"/>
            <w:bottom w:w="30" w:type="dxa"/>
            <w:right w:w="120" w:type="dxa"/>
          </w:tblCellMar>
        </w:tblPrEx>
        <w:trPr>
          <w:trHeight w:val="500" w:hRule="atLeast"/>
        </w:trPr>
        <w:tc>
          <w:tcPr>
            <w:tcW w:w="41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352443">
            <w:pPr>
              <w:ind w:firstLine="21" w:firstLineChars="1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日期：</w:t>
            </w:r>
          </w:p>
        </w:tc>
        <w:tc>
          <w:tcPr>
            <w:tcW w:w="43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BCF662">
            <w:pPr>
              <w:ind w:firstLine="21" w:firstLineChars="10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日期：</w:t>
            </w:r>
          </w:p>
        </w:tc>
      </w:tr>
    </w:tbl>
    <w:p w14:paraId="5925719D">
      <w:pPr>
        <w:rPr>
          <w:rFonts w:hint="eastAsia" w:asciiTheme="minorEastAsia" w:hAnsiTheme="minorEastAsia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armonyOS Sans SC Light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黑体 CN Normal">
    <w:altName w:val="黑体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2437642"/>
    </w:sdtPr>
    <w:sdtContent>
      <w:sdt>
        <w:sdtPr>
          <w:id w:val="1728636285"/>
        </w:sdtPr>
        <w:sdtContent>
          <w:p w14:paraId="2646D16D">
            <w:pPr>
              <w:pStyle w:val="1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5DCFEFE">
    <w:pPr>
      <w:pStyle w:val="1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639EF">
    <w:pPr>
      <w:pStyle w:val="19"/>
      <w:jc w:val="right"/>
    </w:pPr>
    <w:r>
      <w:rPr>
        <w:rFonts w:hint="eastAsia"/>
        <w:lang w:val="en-US" w:eastAsia="zh-CN"/>
      </w:rPr>
      <w:t>百琪达</w:t>
    </w:r>
    <w:r>
      <w:rPr>
        <w:rFonts w:hint="eastAsia"/>
      </w:rPr>
      <w:t>项目软件</w:t>
    </w:r>
    <w:r>
      <w:rPr>
        <w:rFonts w:hint="eastAsia"/>
        <w:lang w:val="en-US" w:eastAsia="zh-CN"/>
      </w:rPr>
      <w:t>系统</w:t>
    </w:r>
    <w:r>
      <w:rPr>
        <w:rFonts w:hint="eastAsia"/>
      </w:rPr>
      <w:t>蓝图（FDS）文件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F60A58"/>
    <w:multiLevelType w:val="multilevel"/>
    <w:tmpl w:val="8EF60A5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color w:val="000000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1240" w:hanging="420"/>
      </w:pPr>
      <w:rPr>
        <w:rFonts w:hint="default"/>
        <w:color w:val="auto"/>
      </w:rPr>
    </w:lvl>
    <w:lvl w:ilvl="2" w:tentative="0">
      <w:start w:val="1"/>
      <w:numFmt w:val="lowerLetter"/>
      <w:lvlText w:val="%3."/>
      <w:lvlJc w:val="left"/>
      <w:pPr>
        <w:tabs>
          <w:tab w:val="left" w:pos="1260"/>
        </w:tabs>
        <w:ind w:left="1660" w:hanging="420"/>
      </w:pPr>
      <w:rPr>
        <w:rFonts w:hint="default"/>
      </w:rPr>
    </w:lvl>
    <w:lvl w:ilvl="3" w:tentative="0">
      <w:start w:val="1"/>
      <w:numFmt w:val="lowerLetter"/>
      <w:lvlText w:val="%4)"/>
      <w:lvlJc w:val="left"/>
      <w:pPr>
        <w:tabs>
          <w:tab w:val="left" w:pos="1680"/>
        </w:tabs>
        <w:ind w:left="2080" w:hanging="420"/>
      </w:pPr>
      <w:rPr>
        <w:rFonts w:hint="default"/>
      </w:rPr>
    </w:lvl>
    <w:lvl w:ilvl="4" w:tentative="0">
      <w:start w:val="1"/>
      <w:numFmt w:val="lowerRoman"/>
      <w:lvlText w:val="%5."/>
      <w:lvlJc w:val="left"/>
      <w:pPr>
        <w:tabs>
          <w:tab w:val="left" w:pos="2100"/>
        </w:tabs>
        <w:ind w:left="2500" w:hanging="420"/>
      </w:pPr>
      <w:rPr>
        <w:rFonts w:hint="default"/>
      </w:rPr>
    </w:lvl>
    <w:lvl w:ilvl="5" w:tentative="0">
      <w:start w:val="1"/>
      <w:numFmt w:val="lowerRoman"/>
      <w:lvlText w:val="%6)"/>
      <w:lvlJc w:val="left"/>
      <w:pPr>
        <w:tabs>
          <w:tab w:val="left" w:pos="2520"/>
        </w:tabs>
        <w:ind w:left="2920" w:hanging="420"/>
      </w:pPr>
      <w:rPr>
        <w:rFonts w:hint="default"/>
      </w:rPr>
    </w:lvl>
    <w:lvl w:ilvl="6" w:tentative="0">
      <w:start w:val="1"/>
      <w:numFmt w:val="lowerLetter"/>
      <w:lvlText w:val="%7."/>
      <w:lvlJc w:val="left"/>
      <w:pPr>
        <w:tabs>
          <w:tab w:val="left" w:pos="2940"/>
        </w:tabs>
        <w:ind w:left="3340" w:hanging="42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760" w:hanging="42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4180" w:hanging="420"/>
      </w:pPr>
      <w:rPr>
        <w:rFonts w:hint="default"/>
      </w:rPr>
    </w:lvl>
  </w:abstractNum>
  <w:abstractNum w:abstractNumId="1">
    <w:nsid w:val="0ECE3318"/>
    <w:multiLevelType w:val="multilevel"/>
    <w:tmpl w:val="0ECE331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decimal"/>
      <w:lvlText w:val="%3)"/>
      <w:lvlJc w:val="lef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05C674F"/>
    <w:multiLevelType w:val="multilevel"/>
    <w:tmpl w:val="305C674F"/>
    <w:lvl w:ilvl="0" w:tentative="0">
      <w:start w:val="1"/>
      <w:numFmt w:val="decimal"/>
      <w:pStyle w:val="54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2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56"/>
      <w:lvlText w:val="%1.%2.%3."/>
      <w:lvlJc w:val="left"/>
      <w:pPr>
        <w:ind w:left="851" w:hanging="709"/>
      </w:pPr>
    </w:lvl>
    <w:lvl w:ilvl="3" w:tentative="0">
      <w:start w:val="1"/>
      <w:numFmt w:val="decimal"/>
      <w:pStyle w:val="57"/>
      <w:lvlText w:val="%1.%2.%3.%4."/>
      <w:lvlJc w:val="left"/>
      <w:pPr>
        <w:ind w:left="851" w:hanging="851"/>
      </w:pPr>
      <w:rPr>
        <w:rFonts w:hint="eastAsia" w:ascii="黑体" w:hAnsi="黑体" w:eastAsia="黑体"/>
        <w:sz w:val="24"/>
        <w:szCs w:val="24"/>
      </w:rPr>
    </w:lvl>
    <w:lvl w:ilvl="4" w:tentative="0">
      <w:start w:val="1"/>
      <w:numFmt w:val="decimal"/>
      <w:pStyle w:val="58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4B083585"/>
    <w:multiLevelType w:val="multilevel"/>
    <w:tmpl w:val="4B083585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88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907" w:hanging="453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58CBCBB7"/>
    <w:multiLevelType w:val="singleLevel"/>
    <w:tmpl w:val="58CBCBB7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Times New Roman" w:hAnsi="Times New Roman" w:cs="Times New Roman"/>
        <w:sz w:val="21"/>
        <w:szCs w:val="21"/>
      </w:rPr>
    </w:lvl>
  </w:abstractNum>
  <w:abstractNum w:abstractNumId="5">
    <w:nsid w:val="5A0952AE"/>
    <w:multiLevelType w:val="singleLevel"/>
    <w:tmpl w:val="5A0952AE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696D5F57"/>
    <w:multiLevelType w:val="multilevel"/>
    <w:tmpl w:val="696D5F57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252" w:hanging="575"/>
      </w:p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 w:cs="宋体" w:asciiTheme="minorEastAsia" w:hAnsiTheme="minorEastAsia" w:eastAsiaTheme="minorEastAsia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7">
    <w:nsid w:val="6DEA6E44"/>
    <w:multiLevelType w:val="multilevel"/>
    <w:tmpl w:val="6DEA6E4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hideSpellingErrors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hNmU4ZGVhNDQ5NmI4NWE5MmNlZGQxZWQ2MDExYzEifQ=="/>
  </w:docVars>
  <w:rsids>
    <w:rsidRoot w:val="00E30300"/>
    <w:rsid w:val="00000103"/>
    <w:rsid w:val="0000129B"/>
    <w:rsid w:val="00014859"/>
    <w:rsid w:val="00014D73"/>
    <w:rsid w:val="000237B9"/>
    <w:rsid w:val="00023F84"/>
    <w:rsid w:val="000334CF"/>
    <w:rsid w:val="00057476"/>
    <w:rsid w:val="00062A6A"/>
    <w:rsid w:val="0006473E"/>
    <w:rsid w:val="0007702D"/>
    <w:rsid w:val="00083745"/>
    <w:rsid w:val="00087189"/>
    <w:rsid w:val="00087BD0"/>
    <w:rsid w:val="0009140D"/>
    <w:rsid w:val="000B360C"/>
    <w:rsid w:val="000B404A"/>
    <w:rsid w:val="000B7D7E"/>
    <w:rsid w:val="000C23E6"/>
    <w:rsid w:val="000D03D2"/>
    <w:rsid w:val="000E727F"/>
    <w:rsid w:val="000F5C7D"/>
    <w:rsid w:val="00106493"/>
    <w:rsid w:val="00111665"/>
    <w:rsid w:val="00111AB1"/>
    <w:rsid w:val="00115401"/>
    <w:rsid w:val="00117DB1"/>
    <w:rsid w:val="00124F53"/>
    <w:rsid w:val="00131D75"/>
    <w:rsid w:val="00132B73"/>
    <w:rsid w:val="00150A0E"/>
    <w:rsid w:val="00154A7F"/>
    <w:rsid w:val="00156D84"/>
    <w:rsid w:val="00161662"/>
    <w:rsid w:val="001648BC"/>
    <w:rsid w:val="001759CE"/>
    <w:rsid w:val="001760B8"/>
    <w:rsid w:val="0018364C"/>
    <w:rsid w:val="00184814"/>
    <w:rsid w:val="0019339A"/>
    <w:rsid w:val="001A5F95"/>
    <w:rsid w:val="001B592E"/>
    <w:rsid w:val="001B7A40"/>
    <w:rsid w:val="001C19D3"/>
    <w:rsid w:val="001C7CDA"/>
    <w:rsid w:val="001D1B60"/>
    <w:rsid w:val="001D4290"/>
    <w:rsid w:val="001D4E31"/>
    <w:rsid w:val="001D7A04"/>
    <w:rsid w:val="001E1E8F"/>
    <w:rsid w:val="001F0975"/>
    <w:rsid w:val="00203EF2"/>
    <w:rsid w:val="00210DB6"/>
    <w:rsid w:val="00223833"/>
    <w:rsid w:val="0022677C"/>
    <w:rsid w:val="00230C73"/>
    <w:rsid w:val="0023311F"/>
    <w:rsid w:val="00234CD5"/>
    <w:rsid w:val="00265A60"/>
    <w:rsid w:val="00266D0A"/>
    <w:rsid w:val="00273614"/>
    <w:rsid w:val="00280B88"/>
    <w:rsid w:val="002815B5"/>
    <w:rsid w:val="0029049A"/>
    <w:rsid w:val="00292AC2"/>
    <w:rsid w:val="00293944"/>
    <w:rsid w:val="002A12DF"/>
    <w:rsid w:val="002A760E"/>
    <w:rsid w:val="002B49DE"/>
    <w:rsid w:val="002C2E5C"/>
    <w:rsid w:val="002D2517"/>
    <w:rsid w:val="00303EFF"/>
    <w:rsid w:val="003045D9"/>
    <w:rsid w:val="00305B92"/>
    <w:rsid w:val="00306CEC"/>
    <w:rsid w:val="00317E7B"/>
    <w:rsid w:val="00323F17"/>
    <w:rsid w:val="00324815"/>
    <w:rsid w:val="00327276"/>
    <w:rsid w:val="00327B8F"/>
    <w:rsid w:val="00332CF3"/>
    <w:rsid w:val="00334828"/>
    <w:rsid w:val="003523E4"/>
    <w:rsid w:val="003546AA"/>
    <w:rsid w:val="0036779A"/>
    <w:rsid w:val="00371CED"/>
    <w:rsid w:val="00375D1A"/>
    <w:rsid w:val="003821D7"/>
    <w:rsid w:val="003A5492"/>
    <w:rsid w:val="003A74E5"/>
    <w:rsid w:val="003B22B6"/>
    <w:rsid w:val="003C2561"/>
    <w:rsid w:val="003C697C"/>
    <w:rsid w:val="003D345D"/>
    <w:rsid w:val="003D783E"/>
    <w:rsid w:val="003E5722"/>
    <w:rsid w:val="003F2B70"/>
    <w:rsid w:val="003F6C63"/>
    <w:rsid w:val="00407F10"/>
    <w:rsid w:val="004117C9"/>
    <w:rsid w:val="00415A60"/>
    <w:rsid w:val="004178A3"/>
    <w:rsid w:val="004205D0"/>
    <w:rsid w:val="00423C33"/>
    <w:rsid w:val="00427969"/>
    <w:rsid w:val="004311DA"/>
    <w:rsid w:val="004317C8"/>
    <w:rsid w:val="00444D69"/>
    <w:rsid w:val="00452589"/>
    <w:rsid w:val="004546E8"/>
    <w:rsid w:val="0045592D"/>
    <w:rsid w:val="00457D40"/>
    <w:rsid w:val="00467525"/>
    <w:rsid w:val="0049181D"/>
    <w:rsid w:val="004A41C3"/>
    <w:rsid w:val="004C2F02"/>
    <w:rsid w:val="004C65A4"/>
    <w:rsid w:val="004C7FCF"/>
    <w:rsid w:val="004D2885"/>
    <w:rsid w:val="004D5D36"/>
    <w:rsid w:val="004F009B"/>
    <w:rsid w:val="004F137A"/>
    <w:rsid w:val="004F3C9F"/>
    <w:rsid w:val="005042D9"/>
    <w:rsid w:val="00504D3C"/>
    <w:rsid w:val="005158BE"/>
    <w:rsid w:val="00522F7C"/>
    <w:rsid w:val="00523B61"/>
    <w:rsid w:val="00527880"/>
    <w:rsid w:val="00530688"/>
    <w:rsid w:val="00531CD9"/>
    <w:rsid w:val="0053369A"/>
    <w:rsid w:val="00561730"/>
    <w:rsid w:val="005A2118"/>
    <w:rsid w:val="005A437C"/>
    <w:rsid w:val="005A5724"/>
    <w:rsid w:val="005C097B"/>
    <w:rsid w:val="005C23F5"/>
    <w:rsid w:val="005E2538"/>
    <w:rsid w:val="005E34CD"/>
    <w:rsid w:val="005E68C0"/>
    <w:rsid w:val="005F0211"/>
    <w:rsid w:val="005F07D1"/>
    <w:rsid w:val="005F1A52"/>
    <w:rsid w:val="00610A5F"/>
    <w:rsid w:val="006129A9"/>
    <w:rsid w:val="006218F6"/>
    <w:rsid w:val="00634FED"/>
    <w:rsid w:val="00636C2C"/>
    <w:rsid w:val="006416B5"/>
    <w:rsid w:val="00650B8A"/>
    <w:rsid w:val="00657532"/>
    <w:rsid w:val="0068154E"/>
    <w:rsid w:val="006853CE"/>
    <w:rsid w:val="0068556A"/>
    <w:rsid w:val="0069405A"/>
    <w:rsid w:val="00695DD4"/>
    <w:rsid w:val="006A4645"/>
    <w:rsid w:val="006A4BA0"/>
    <w:rsid w:val="006A66AB"/>
    <w:rsid w:val="006B2ADA"/>
    <w:rsid w:val="006B3D26"/>
    <w:rsid w:val="006B4186"/>
    <w:rsid w:val="006C52F9"/>
    <w:rsid w:val="006C71F7"/>
    <w:rsid w:val="006C7AD5"/>
    <w:rsid w:val="006D23F6"/>
    <w:rsid w:val="006D6F1F"/>
    <w:rsid w:val="006E2156"/>
    <w:rsid w:val="006E38BB"/>
    <w:rsid w:val="006F094B"/>
    <w:rsid w:val="00704D25"/>
    <w:rsid w:val="00712911"/>
    <w:rsid w:val="00720432"/>
    <w:rsid w:val="00723319"/>
    <w:rsid w:val="0074166D"/>
    <w:rsid w:val="00755D76"/>
    <w:rsid w:val="0077669C"/>
    <w:rsid w:val="007766C8"/>
    <w:rsid w:val="00787896"/>
    <w:rsid w:val="00796430"/>
    <w:rsid w:val="007A15F5"/>
    <w:rsid w:val="007C2AD6"/>
    <w:rsid w:val="007C76ED"/>
    <w:rsid w:val="007C79FB"/>
    <w:rsid w:val="007D5CDE"/>
    <w:rsid w:val="007E314D"/>
    <w:rsid w:val="007F3644"/>
    <w:rsid w:val="007F608F"/>
    <w:rsid w:val="00800608"/>
    <w:rsid w:val="00807235"/>
    <w:rsid w:val="00821D4A"/>
    <w:rsid w:val="0082589E"/>
    <w:rsid w:val="00832B44"/>
    <w:rsid w:val="0084085B"/>
    <w:rsid w:val="00841CE1"/>
    <w:rsid w:val="00841F1F"/>
    <w:rsid w:val="008627FA"/>
    <w:rsid w:val="00863CF5"/>
    <w:rsid w:val="00864D4A"/>
    <w:rsid w:val="00872F24"/>
    <w:rsid w:val="008766F2"/>
    <w:rsid w:val="00876879"/>
    <w:rsid w:val="00877AC2"/>
    <w:rsid w:val="00885C87"/>
    <w:rsid w:val="008961C0"/>
    <w:rsid w:val="008B52F6"/>
    <w:rsid w:val="008B5CFC"/>
    <w:rsid w:val="008C0ECB"/>
    <w:rsid w:val="008C0EED"/>
    <w:rsid w:val="008D2E47"/>
    <w:rsid w:val="008E27A9"/>
    <w:rsid w:val="008E31F0"/>
    <w:rsid w:val="008E5497"/>
    <w:rsid w:val="008E64BD"/>
    <w:rsid w:val="008E6802"/>
    <w:rsid w:val="008F01DA"/>
    <w:rsid w:val="008F347C"/>
    <w:rsid w:val="009075CB"/>
    <w:rsid w:val="00912C4E"/>
    <w:rsid w:val="00926D6E"/>
    <w:rsid w:val="00935AB5"/>
    <w:rsid w:val="00944691"/>
    <w:rsid w:val="009508C1"/>
    <w:rsid w:val="00954E8A"/>
    <w:rsid w:val="00956599"/>
    <w:rsid w:val="0095754C"/>
    <w:rsid w:val="009647FB"/>
    <w:rsid w:val="009659DC"/>
    <w:rsid w:val="00974805"/>
    <w:rsid w:val="00984503"/>
    <w:rsid w:val="00990EDA"/>
    <w:rsid w:val="0099130C"/>
    <w:rsid w:val="00991358"/>
    <w:rsid w:val="009972C2"/>
    <w:rsid w:val="009A4094"/>
    <w:rsid w:val="009A456C"/>
    <w:rsid w:val="009A7A0E"/>
    <w:rsid w:val="009B5352"/>
    <w:rsid w:val="009B7869"/>
    <w:rsid w:val="009D7665"/>
    <w:rsid w:val="009F28D2"/>
    <w:rsid w:val="009F3204"/>
    <w:rsid w:val="009F4F38"/>
    <w:rsid w:val="009F568B"/>
    <w:rsid w:val="009F6D55"/>
    <w:rsid w:val="00A06304"/>
    <w:rsid w:val="00A145A6"/>
    <w:rsid w:val="00A24E62"/>
    <w:rsid w:val="00A32D72"/>
    <w:rsid w:val="00A35ED9"/>
    <w:rsid w:val="00A40F9B"/>
    <w:rsid w:val="00A4226A"/>
    <w:rsid w:val="00A54C17"/>
    <w:rsid w:val="00A901FE"/>
    <w:rsid w:val="00A932D5"/>
    <w:rsid w:val="00A9371A"/>
    <w:rsid w:val="00AA0A96"/>
    <w:rsid w:val="00AA0DF3"/>
    <w:rsid w:val="00AD2F72"/>
    <w:rsid w:val="00AE71F3"/>
    <w:rsid w:val="00AF2D1D"/>
    <w:rsid w:val="00AF5B12"/>
    <w:rsid w:val="00B019A4"/>
    <w:rsid w:val="00B03A4F"/>
    <w:rsid w:val="00B10182"/>
    <w:rsid w:val="00B159C5"/>
    <w:rsid w:val="00B17675"/>
    <w:rsid w:val="00B24B49"/>
    <w:rsid w:val="00B250B8"/>
    <w:rsid w:val="00B26E56"/>
    <w:rsid w:val="00B4641F"/>
    <w:rsid w:val="00B46C09"/>
    <w:rsid w:val="00B5176C"/>
    <w:rsid w:val="00B53A9D"/>
    <w:rsid w:val="00B54574"/>
    <w:rsid w:val="00B54F3B"/>
    <w:rsid w:val="00B60C44"/>
    <w:rsid w:val="00B641FA"/>
    <w:rsid w:val="00B664E8"/>
    <w:rsid w:val="00B71B8B"/>
    <w:rsid w:val="00B74125"/>
    <w:rsid w:val="00B771DD"/>
    <w:rsid w:val="00B806AC"/>
    <w:rsid w:val="00B8336C"/>
    <w:rsid w:val="00B91747"/>
    <w:rsid w:val="00B93B1A"/>
    <w:rsid w:val="00B95638"/>
    <w:rsid w:val="00BA4A21"/>
    <w:rsid w:val="00BB1735"/>
    <w:rsid w:val="00BB413E"/>
    <w:rsid w:val="00BB6218"/>
    <w:rsid w:val="00BC030B"/>
    <w:rsid w:val="00BC4B50"/>
    <w:rsid w:val="00BD262D"/>
    <w:rsid w:val="00BD430C"/>
    <w:rsid w:val="00BE24F6"/>
    <w:rsid w:val="00BE32F3"/>
    <w:rsid w:val="00BE5821"/>
    <w:rsid w:val="00C0108E"/>
    <w:rsid w:val="00C01A92"/>
    <w:rsid w:val="00C102B0"/>
    <w:rsid w:val="00C110A8"/>
    <w:rsid w:val="00C16A6B"/>
    <w:rsid w:val="00C2092A"/>
    <w:rsid w:val="00C23FCE"/>
    <w:rsid w:val="00C31B63"/>
    <w:rsid w:val="00C4007C"/>
    <w:rsid w:val="00C51147"/>
    <w:rsid w:val="00C65C2E"/>
    <w:rsid w:val="00C77B8F"/>
    <w:rsid w:val="00C83559"/>
    <w:rsid w:val="00C851DB"/>
    <w:rsid w:val="00C943EF"/>
    <w:rsid w:val="00C94CE5"/>
    <w:rsid w:val="00CB0072"/>
    <w:rsid w:val="00CB0C3B"/>
    <w:rsid w:val="00CC1A88"/>
    <w:rsid w:val="00CC2FBF"/>
    <w:rsid w:val="00CD10EA"/>
    <w:rsid w:val="00CD581B"/>
    <w:rsid w:val="00CE297D"/>
    <w:rsid w:val="00D004F0"/>
    <w:rsid w:val="00D00741"/>
    <w:rsid w:val="00D07AD8"/>
    <w:rsid w:val="00D1399D"/>
    <w:rsid w:val="00D617F6"/>
    <w:rsid w:val="00D640B7"/>
    <w:rsid w:val="00D70AA1"/>
    <w:rsid w:val="00D72AF7"/>
    <w:rsid w:val="00D75F26"/>
    <w:rsid w:val="00D83448"/>
    <w:rsid w:val="00D842D4"/>
    <w:rsid w:val="00D86417"/>
    <w:rsid w:val="00DA7AB0"/>
    <w:rsid w:val="00DB3F25"/>
    <w:rsid w:val="00DB636F"/>
    <w:rsid w:val="00DD5F45"/>
    <w:rsid w:val="00DD6B70"/>
    <w:rsid w:val="00DE2F6F"/>
    <w:rsid w:val="00DE5D96"/>
    <w:rsid w:val="00DE6656"/>
    <w:rsid w:val="00DF179E"/>
    <w:rsid w:val="00DF2F03"/>
    <w:rsid w:val="00E00164"/>
    <w:rsid w:val="00E01728"/>
    <w:rsid w:val="00E04537"/>
    <w:rsid w:val="00E0713B"/>
    <w:rsid w:val="00E1190C"/>
    <w:rsid w:val="00E139D6"/>
    <w:rsid w:val="00E20C3C"/>
    <w:rsid w:val="00E2249D"/>
    <w:rsid w:val="00E253A3"/>
    <w:rsid w:val="00E300A7"/>
    <w:rsid w:val="00E30300"/>
    <w:rsid w:val="00E33067"/>
    <w:rsid w:val="00E3446A"/>
    <w:rsid w:val="00E52183"/>
    <w:rsid w:val="00E52943"/>
    <w:rsid w:val="00E62268"/>
    <w:rsid w:val="00E62E7B"/>
    <w:rsid w:val="00E75E87"/>
    <w:rsid w:val="00E76652"/>
    <w:rsid w:val="00E87E84"/>
    <w:rsid w:val="00E94EC4"/>
    <w:rsid w:val="00EA18F2"/>
    <w:rsid w:val="00EA4925"/>
    <w:rsid w:val="00EA64A0"/>
    <w:rsid w:val="00EB4C31"/>
    <w:rsid w:val="00EC1D0E"/>
    <w:rsid w:val="00EF224F"/>
    <w:rsid w:val="00F03053"/>
    <w:rsid w:val="00F0332A"/>
    <w:rsid w:val="00F0607B"/>
    <w:rsid w:val="00F12D26"/>
    <w:rsid w:val="00F1578D"/>
    <w:rsid w:val="00F15FB0"/>
    <w:rsid w:val="00F17028"/>
    <w:rsid w:val="00F20F2E"/>
    <w:rsid w:val="00F2317B"/>
    <w:rsid w:val="00F41C31"/>
    <w:rsid w:val="00F50F40"/>
    <w:rsid w:val="00F5686D"/>
    <w:rsid w:val="00F57946"/>
    <w:rsid w:val="00F63C46"/>
    <w:rsid w:val="00F76A1D"/>
    <w:rsid w:val="00F944A7"/>
    <w:rsid w:val="00F967EB"/>
    <w:rsid w:val="00F97F4A"/>
    <w:rsid w:val="00FC7D99"/>
    <w:rsid w:val="00FD0F8E"/>
    <w:rsid w:val="00FE00B8"/>
    <w:rsid w:val="00FE4AF6"/>
    <w:rsid w:val="00FF020A"/>
    <w:rsid w:val="00FF6C96"/>
    <w:rsid w:val="01C20278"/>
    <w:rsid w:val="02704AC1"/>
    <w:rsid w:val="02947AA1"/>
    <w:rsid w:val="02BA21E0"/>
    <w:rsid w:val="035179D4"/>
    <w:rsid w:val="03520F93"/>
    <w:rsid w:val="05D85E10"/>
    <w:rsid w:val="05DD7A1F"/>
    <w:rsid w:val="06666CDD"/>
    <w:rsid w:val="091F2D9D"/>
    <w:rsid w:val="09A25B6D"/>
    <w:rsid w:val="0BC40AD5"/>
    <w:rsid w:val="0BCC2481"/>
    <w:rsid w:val="0BF431D5"/>
    <w:rsid w:val="0CF1117B"/>
    <w:rsid w:val="0D5A26FB"/>
    <w:rsid w:val="0D5B5476"/>
    <w:rsid w:val="0D656C84"/>
    <w:rsid w:val="0DF2613C"/>
    <w:rsid w:val="0E007B9D"/>
    <w:rsid w:val="0FF66D5C"/>
    <w:rsid w:val="100C37F2"/>
    <w:rsid w:val="102869DB"/>
    <w:rsid w:val="10AC668A"/>
    <w:rsid w:val="10ED5C7F"/>
    <w:rsid w:val="11C34DF2"/>
    <w:rsid w:val="12513456"/>
    <w:rsid w:val="13F51BD1"/>
    <w:rsid w:val="14490897"/>
    <w:rsid w:val="14B37B46"/>
    <w:rsid w:val="150A5288"/>
    <w:rsid w:val="15DC2D44"/>
    <w:rsid w:val="15F1270C"/>
    <w:rsid w:val="176D22FD"/>
    <w:rsid w:val="178058C0"/>
    <w:rsid w:val="17A70B2D"/>
    <w:rsid w:val="17CF6B3A"/>
    <w:rsid w:val="19A566D3"/>
    <w:rsid w:val="1A26633B"/>
    <w:rsid w:val="1B95027A"/>
    <w:rsid w:val="1C7D44B2"/>
    <w:rsid w:val="1C9C4339"/>
    <w:rsid w:val="1CA430A0"/>
    <w:rsid w:val="1CA5539F"/>
    <w:rsid w:val="1D6557AE"/>
    <w:rsid w:val="1E412317"/>
    <w:rsid w:val="1E797C83"/>
    <w:rsid w:val="1F13300A"/>
    <w:rsid w:val="1FBF5D7A"/>
    <w:rsid w:val="209F5BEB"/>
    <w:rsid w:val="21893F8B"/>
    <w:rsid w:val="21A32365"/>
    <w:rsid w:val="247578BD"/>
    <w:rsid w:val="24955901"/>
    <w:rsid w:val="249C5FF2"/>
    <w:rsid w:val="257D7FBF"/>
    <w:rsid w:val="25D44116"/>
    <w:rsid w:val="25EB1EDA"/>
    <w:rsid w:val="26923AB0"/>
    <w:rsid w:val="26AF44EF"/>
    <w:rsid w:val="27126E9D"/>
    <w:rsid w:val="27995046"/>
    <w:rsid w:val="295313CA"/>
    <w:rsid w:val="299D2E31"/>
    <w:rsid w:val="2BBF4CB0"/>
    <w:rsid w:val="2BE63A28"/>
    <w:rsid w:val="2C047EA4"/>
    <w:rsid w:val="2C7E27DB"/>
    <w:rsid w:val="2CCD64E8"/>
    <w:rsid w:val="2D7160CA"/>
    <w:rsid w:val="2EBD303F"/>
    <w:rsid w:val="2F527179"/>
    <w:rsid w:val="2F7C5FA4"/>
    <w:rsid w:val="306840EC"/>
    <w:rsid w:val="30DF0D9F"/>
    <w:rsid w:val="31465C01"/>
    <w:rsid w:val="3333739F"/>
    <w:rsid w:val="3445105A"/>
    <w:rsid w:val="34CD357A"/>
    <w:rsid w:val="34D4293B"/>
    <w:rsid w:val="34ED003B"/>
    <w:rsid w:val="352670DE"/>
    <w:rsid w:val="35365B33"/>
    <w:rsid w:val="35AA7220"/>
    <w:rsid w:val="35E73F1E"/>
    <w:rsid w:val="37BD210E"/>
    <w:rsid w:val="38466698"/>
    <w:rsid w:val="38926838"/>
    <w:rsid w:val="39F23A32"/>
    <w:rsid w:val="39FF990D"/>
    <w:rsid w:val="3A644D3D"/>
    <w:rsid w:val="3A746254"/>
    <w:rsid w:val="3AB92FEC"/>
    <w:rsid w:val="3BF92C48"/>
    <w:rsid w:val="3CA021C5"/>
    <w:rsid w:val="3DFA4C63"/>
    <w:rsid w:val="3EB94B1E"/>
    <w:rsid w:val="3EFA75AA"/>
    <w:rsid w:val="3F045362"/>
    <w:rsid w:val="3F3D74FE"/>
    <w:rsid w:val="3F9C258C"/>
    <w:rsid w:val="41243102"/>
    <w:rsid w:val="471421DF"/>
    <w:rsid w:val="472E3111"/>
    <w:rsid w:val="475A780D"/>
    <w:rsid w:val="47CD946C"/>
    <w:rsid w:val="48256DA7"/>
    <w:rsid w:val="4A0233FD"/>
    <w:rsid w:val="4A2E7AAE"/>
    <w:rsid w:val="4B834044"/>
    <w:rsid w:val="4BA17066"/>
    <w:rsid w:val="4BD305F9"/>
    <w:rsid w:val="4C7D7532"/>
    <w:rsid w:val="4E2566A0"/>
    <w:rsid w:val="4E474CBF"/>
    <w:rsid w:val="4EFD4512"/>
    <w:rsid w:val="4F9317BB"/>
    <w:rsid w:val="51215B53"/>
    <w:rsid w:val="51BAF123"/>
    <w:rsid w:val="51EA2A67"/>
    <w:rsid w:val="52285DEB"/>
    <w:rsid w:val="527E3C5D"/>
    <w:rsid w:val="52826C67"/>
    <w:rsid w:val="52ED03E0"/>
    <w:rsid w:val="532B7C7B"/>
    <w:rsid w:val="53FE2BF7"/>
    <w:rsid w:val="54415D31"/>
    <w:rsid w:val="5464378F"/>
    <w:rsid w:val="54E65DA3"/>
    <w:rsid w:val="55D04D03"/>
    <w:rsid w:val="55F26698"/>
    <w:rsid w:val="56761845"/>
    <w:rsid w:val="57642860"/>
    <w:rsid w:val="578F1E6B"/>
    <w:rsid w:val="579F1B84"/>
    <w:rsid w:val="59E307C6"/>
    <w:rsid w:val="59EA5AB1"/>
    <w:rsid w:val="5A003AE4"/>
    <w:rsid w:val="5A074CA0"/>
    <w:rsid w:val="5A44397A"/>
    <w:rsid w:val="5BE83983"/>
    <w:rsid w:val="5D3D6D9F"/>
    <w:rsid w:val="5E0D37BB"/>
    <w:rsid w:val="5FBEF215"/>
    <w:rsid w:val="5FEA62E9"/>
    <w:rsid w:val="5FF7FFF0"/>
    <w:rsid w:val="5FFF5E8F"/>
    <w:rsid w:val="61CB2896"/>
    <w:rsid w:val="61E61C76"/>
    <w:rsid w:val="62BB7BCF"/>
    <w:rsid w:val="62C06AD1"/>
    <w:rsid w:val="62EC3F62"/>
    <w:rsid w:val="637F29E0"/>
    <w:rsid w:val="63A66B70"/>
    <w:rsid w:val="63AB1F1A"/>
    <w:rsid w:val="64EF2799"/>
    <w:rsid w:val="6569501E"/>
    <w:rsid w:val="66911D59"/>
    <w:rsid w:val="66A97ECB"/>
    <w:rsid w:val="66B65F57"/>
    <w:rsid w:val="67E4410B"/>
    <w:rsid w:val="68D97426"/>
    <w:rsid w:val="692A09DF"/>
    <w:rsid w:val="6A775AC5"/>
    <w:rsid w:val="6AD4162A"/>
    <w:rsid w:val="6B1E16E2"/>
    <w:rsid w:val="6B520DD6"/>
    <w:rsid w:val="6B881CE5"/>
    <w:rsid w:val="6C1F514E"/>
    <w:rsid w:val="6C2B516B"/>
    <w:rsid w:val="6DBEA895"/>
    <w:rsid w:val="6DF03401"/>
    <w:rsid w:val="6DF5DF90"/>
    <w:rsid w:val="6E4440B3"/>
    <w:rsid w:val="6E8126B3"/>
    <w:rsid w:val="6F270851"/>
    <w:rsid w:val="6FF57D8A"/>
    <w:rsid w:val="7007308C"/>
    <w:rsid w:val="70480FAF"/>
    <w:rsid w:val="70507548"/>
    <w:rsid w:val="707B42D5"/>
    <w:rsid w:val="716203CD"/>
    <w:rsid w:val="719601DA"/>
    <w:rsid w:val="722577FA"/>
    <w:rsid w:val="72D47871"/>
    <w:rsid w:val="72FF5977"/>
    <w:rsid w:val="73444223"/>
    <w:rsid w:val="73AA3A48"/>
    <w:rsid w:val="742443AD"/>
    <w:rsid w:val="74E23A02"/>
    <w:rsid w:val="75BF4159"/>
    <w:rsid w:val="75FF913D"/>
    <w:rsid w:val="76FEA65E"/>
    <w:rsid w:val="76FF5795"/>
    <w:rsid w:val="775F60ED"/>
    <w:rsid w:val="77730046"/>
    <w:rsid w:val="779B8876"/>
    <w:rsid w:val="77B95C13"/>
    <w:rsid w:val="77D32C82"/>
    <w:rsid w:val="7941257D"/>
    <w:rsid w:val="79D82A51"/>
    <w:rsid w:val="7A713A76"/>
    <w:rsid w:val="7A7EF97C"/>
    <w:rsid w:val="7BB330E6"/>
    <w:rsid w:val="7BDFC0CA"/>
    <w:rsid w:val="7BE318AF"/>
    <w:rsid w:val="7BFCABF5"/>
    <w:rsid w:val="7BFD106A"/>
    <w:rsid w:val="7BFF3140"/>
    <w:rsid w:val="7BFF5E52"/>
    <w:rsid w:val="7C7C2DE5"/>
    <w:rsid w:val="7CFFEA15"/>
    <w:rsid w:val="7D632B82"/>
    <w:rsid w:val="7DBF5118"/>
    <w:rsid w:val="7DFECBD8"/>
    <w:rsid w:val="7E530307"/>
    <w:rsid w:val="7E5FF042"/>
    <w:rsid w:val="7EEEB96F"/>
    <w:rsid w:val="7EFF135C"/>
    <w:rsid w:val="7EFF994E"/>
    <w:rsid w:val="7F3BFE7E"/>
    <w:rsid w:val="7F3EDD00"/>
    <w:rsid w:val="7F8D3E07"/>
    <w:rsid w:val="7F9DA7D7"/>
    <w:rsid w:val="7FBF577A"/>
    <w:rsid w:val="7FFF2E4B"/>
    <w:rsid w:val="8FEF2364"/>
    <w:rsid w:val="9B5D3173"/>
    <w:rsid w:val="9B6E3399"/>
    <w:rsid w:val="9E53C8F2"/>
    <w:rsid w:val="ABDFF15B"/>
    <w:rsid w:val="AF76A9FF"/>
    <w:rsid w:val="AFDCF6B7"/>
    <w:rsid w:val="B35EC3CC"/>
    <w:rsid w:val="BF531C4F"/>
    <w:rsid w:val="BF96E174"/>
    <w:rsid w:val="CEEDF192"/>
    <w:rsid w:val="D75FEA2A"/>
    <w:rsid w:val="DB7F94C7"/>
    <w:rsid w:val="DCF94C95"/>
    <w:rsid w:val="DCFE6C94"/>
    <w:rsid w:val="DD3E8D39"/>
    <w:rsid w:val="DDFED115"/>
    <w:rsid w:val="E2EBF71D"/>
    <w:rsid w:val="E4FD2557"/>
    <w:rsid w:val="F4F3F487"/>
    <w:rsid w:val="F6FB4646"/>
    <w:rsid w:val="F79EA2A4"/>
    <w:rsid w:val="F7FE3D66"/>
    <w:rsid w:val="FAEFD689"/>
    <w:rsid w:val="FCDF5C90"/>
    <w:rsid w:val="FDAF6544"/>
    <w:rsid w:val="FDF5E7CA"/>
    <w:rsid w:val="FDFDDCF2"/>
    <w:rsid w:val="FE3FEE6B"/>
    <w:rsid w:val="FEFB9336"/>
    <w:rsid w:val="FF177443"/>
    <w:rsid w:val="FF66CB84"/>
    <w:rsid w:val="FF6BFD50"/>
    <w:rsid w:val="FF77C48C"/>
    <w:rsid w:val="FF9F51CB"/>
    <w:rsid w:val="FFFFE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7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8"/>
    <w:autoRedefine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jc w:val="left"/>
      <w:outlineLvl w:val="1"/>
    </w:pPr>
    <w:rPr>
      <w:rFonts w:asciiTheme="minorEastAsia" w:hAnsiTheme="min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9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0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1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2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6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14:ligatures w14:val="standardContextual"/>
    </w:rPr>
  </w:style>
  <w:style w:type="paragraph" w:styleId="12">
    <w:name w:val="annotation text"/>
    <w:basedOn w:val="1"/>
    <w:link w:val="43"/>
    <w:unhideWhenUsed/>
    <w:qFormat/>
    <w:uiPriority w:val="99"/>
    <w:pPr>
      <w:jc w:val="left"/>
    </w:pPr>
  </w:style>
  <w:style w:type="paragraph" w:styleId="13">
    <w:name w:val="Body Text"/>
    <w:basedOn w:val="1"/>
    <w:link w:val="69"/>
    <w:semiHidden/>
    <w:unhideWhenUsed/>
    <w:qFormat/>
    <w:uiPriority w:val="99"/>
    <w:pPr>
      <w:spacing w:after="120"/>
    </w:p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  <w:rPr>
      <w14:ligatures w14:val="standardContextual"/>
    </w:rPr>
  </w:style>
  <w:style w:type="paragraph" w:styleId="1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6">
    <w:name w:val="toc 8"/>
    <w:basedOn w:val="1"/>
    <w:next w:val="1"/>
    <w:autoRedefine/>
    <w:unhideWhenUsed/>
    <w:qFormat/>
    <w:uiPriority w:val="39"/>
    <w:pPr>
      <w:ind w:left="2940" w:leftChars="1400"/>
    </w:pPr>
    <w:rPr>
      <w14:ligatures w14:val="standardContextual"/>
    </w:rPr>
  </w:style>
  <w:style w:type="paragraph" w:styleId="17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14:ligatures w14:val="standardContextual"/>
    </w:rPr>
  </w:style>
  <w:style w:type="paragraph" w:styleId="22">
    <w:name w:val="toc 6"/>
    <w:basedOn w:val="1"/>
    <w:next w:val="1"/>
    <w:autoRedefine/>
    <w:unhideWhenUsed/>
    <w:qFormat/>
    <w:uiPriority w:val="39"/>
    <w:pPr>
      <w:ind w:left="2100" w:leftChars="1000"/>
    </w:pPr>
    <w:rPr>
      <w14:ligatures w14:val="standardContextual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autoRedefine/>
    <w:unhideWhenUsed/>
    <w:qFormat/>
    <w:uiPriority w:val="39"/>
    <w:pPr>
      <w:ind w:left="3360" w:leftChars="1600"/>
    </w:pPr>
    <w:rPr>
      <w14:ligatures w14:val="standardContextual"/>
    </w:rPr>
  </w:style>
  <w:style w:type="paragraph" w:styleId="25">
    <w:name w:val="Body Text 2"/>
    <w:basedOn w:val="1"/>
    <w:link w:val="66"/>
    <w:semiHidden/>
    <w:unhideWhenUsed/>
    <w:qFormat/>
    <w:uiPriority w:val="99"/>
    <w:pPr>
      <w:snapToGrid w:val="0"/>
      <w:spacing w:beforeLines="10" w:afterLines="10" w:line="480" w:lineRule="auto"/>
      <w:jc w:val="left"/>
    </w:pPr>
    <w:rPr>
      <w:rFonts w:ascii="HarmonyOS Sans SC Light" w:hAnsi="HarmonyOS Sans SC Light" w:eastAsia="HarmonyOS Sans SC Light" w:cs="宋体"/>
      <w:szCs w:val="21"/>
    </w:rPr>
  </w:style>
  <w:style w:type="paragraph" w:styleId="26">
    <w:name w:val="annotation subject"/>
    <w:basedOn w:val="12"/>
    <w:next w:val="12"/>
    <w:link w:val="44"/>
    <w:semiHidden/>
    <w:unhideWhenUsed/>
    <w:qFormat/>
    <w:uiPriority w:val="99"/>
    <w:rPr>
      <w:b/>
      <w:bCs/>
    </w:rPr>
  </w:style>
  <w:style w:type="paragraph" w:styleId="27">
    <w:name w:val="Body Text First Indent 2"/>
    <w:basedOn w:val="1"/>
    <w:next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table" w:styleId="29">
    <w:name w:val="Table Grid"/>
    <w:basedOn w:val="28"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1">
    <w:name w:val="Emphasis"/>
    <w:basedOn w:val="30"/>
    <w:qFormat/>
    <w:uiPriority w:val="20"/>
    <w:rPr>
      <w:i/>
    </w:rPr>
  </w:style>
  <w:style w:type="character" w:styleId="32">
    <w:name w:val="Hyperlink"/>
    <w:basedOn w:val="3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annotation reference"/>
    <w:basedOn w:val="30"/>
    <w:semiHidden/>
    <w:unhideWhenUsed/>
    <w:qFormat/>
    <w:uiPriority w:val="99"/>
    <w:rPr>
      <w:sz w:val="21"/>
      <w:szCs w:val="21"/>
    </w:rPr>
  </w:style>
  <w:style w:type="character" w:customStyle="1" w:styleId="34">
    <w:name w:val="页眉 字符"/>
    <w:basedOn w:val="30"/>
    <w:link w:val="19"/>
    <w:qFormat/>
    <w:uiPriority w:val="99"/>
    <w:rPr>
      <w:sz w:val="18"/>
      <w:szCs w:val="18"/>
    </w:rPr>
  </w:style>
  <w:style w:type="character" w:customStyle="1" w:styleId="35">
    <w:name w:val="页脚 字符"/>
    <w:basedOn w:val="30"/>
    <w:link w:val="18"/>
    <w:qFormat/>
    <w:uiPriority w:val="99"/>
    <w:rPr>
      <w:sz w:val="18"/>
      <w:szCs w:val="18"/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标题 1 字符"/>
    <w:basedOn w:val="3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8">
    <w:name w:val="标题 2 字符"/>
    <w:basedOn w:val="30"/>
    <w:link w:val="3"/>
    <w:qFormat/>
    <w:uiPriority w:val="9"/>
    <w:rPr>
      <w:rFonts w:asciiTheme="minorEastAsia" w:hAnsiTheme="minorEastAsia" w:eastAsiaTheme="minorEastAsia" w:cstheme="majorBidi"/>
      <w:b/>
      <w:bCs/>
      <w:kern w:val="2"/>
      <w:sz w:val="32"/>
      <w:szCs w:val="32"/>
    </w:rPr>
  </w:style>
  <w:style w:type="character" w:customStyle="1" w:styleId="39">
    <w:name w:val="标题 3 字符"/>
    <w:basedOn w:val="30"/>
    <w:link w:val="4"/>
    <w:qFormat/>
    <w:uiPriority w:val="9"/>
    <w:rPr>
      <w:b/>
      <w:bCs/>
      <w:sz w:val="32"/>
      <w:szCs w:val="32"/>
    </w:rPr>
  </w:style>
  <w:style w:type="character" w:customStyle="1" w:styleId="40">
    <w:name w:val="标题 4 字符"/>
    <w:basedOn w:val="30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1">
    <w:name w:val="标题 5 字符"/>
    <w:basedOn w:val="30"/>
    <w:link w:val="6"/>
    <w:qFormat/>
    <w:uiPriority w:val="9"/>
    <w:rPr>
      <w:b/>
      <w:bCs/>
      <w:sz w:val="28"/>
      <w:szCs w:val="28"/>
    </w:rPr>
  </w:style>
  <w:style w:type="character" w:customStyle="1" w:styleId="42">
    <w:name w:val="标题 6 字符"/>
    <w:basedOn w:val="30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3">
    <w:name w:val="批注文字 字符"/>
    <w:basedOn w:val="30"/>
    <w:link w:val="12"/>
    <w:qFormat/>
    <w:uiPriority w:val="99"/>
  </w:style>
  <w:style w:type="character" w:customStyle="1" w:styleId="44">
    <w:name w:val="批注主题 字符"/>
    <w:basedOn w:val="43"/>
    <w:link w:val="26"/>
    <w:semiHidden/>
    <w:qFormat/>
    <w:uiPriority w:val="99"/>
    <w:rPr>
      <w:b/>
      <w:bCs/>
    </w:rPr>
  </w:style>
  <w:style w:type="character" w:customStyle="1" w:styleId="45">
    <w:name w:val="批注框文本 字符"/>
    <w:basedOn w:val="30"/>
    <w:link w:val="17"/>
    <w:semiHidden/>
    <w:qFormat/>
    <w:uiPriority w:val="99"/>
    <w:rPr>
      <w:sz w:val="18"/>
      <w:szCs w:val="18"/>
    </w:rPr>
  </w:style>
  <w:style w:type="character" w:customStyle="1" w:styleId="46">
    <w:name w:val="标题 7 字符"/>
    <w:basedOn w:val="30"/>
    <w:link w:val="8"/>
    <w:qFormat/>
    <w:uiPriority w:val="9"/>
    <w:rPr>
      <w:b/>
      <w:bCs/>
      <w:sz w:val="24"/>
      <w:szCs w:val="24"/>
    </w:rPr>
  </w:style>
  <w:style w:type="paragraph" w:customStyle="1" w:styleId="47">
    <w:name w:val="列出段落1"/>
    <w:basedOn w:val="1"/>
    <w:qFormat/>
    <w:uiPriority w:val="34"/>
    <w:pPr>
      <w:ind w:left="720"/>
      <w:contextualSpacing/>
    </w:pPr>
  </w:style>
  <w:style w:type="paragraph" w:customStyle="1" w:styleId="48">
    <w:name w:val="其他"/>
    <w:basedOn w:val="1"/>
    <w:qFormat/>
    <w:uiPriority w:val="0"/>
    <w:pPr>
      <w:shd w:val="clear" w:color="auto" w:fill="FFFFFF"/>
    </w:pPr>
    <w:rPr>
      <w:rFonts w:ascii="MingLiU" w:hAnsi="MingLiU" w:eastAsia="MingLiU" w:cs="MingLiU"/>
      <w:sz w:val="40"/>
      <w:szCs w:val="40"/>
      <w:lang w:val="zh-CN" w:bidi="zh-CN"/>
    </w:rPr>
  </w:style>
  <w:style w:type="paragraph" w:customStyle="1" w:styleId="49">
    <w:name w:val="缺省文本"/>
    <w:basedOn w:val="1"/>
    <w:qFormat/>
    <w:uiPriority w:val="0"/>
    <w:pPr>
      <w:autoSpaceDE w:val="0"/>
      <w:autoSpaceDN w:val="0"/>
      <w:adjustRightInd w:val="0"/>
    </w:pPr>
    <w:rPr>
      <w:rFonts w:ascii="Courier New" w:hAnsi="Courier New" w:eastAsia="Cambria Math" w:cs="Courier New"/>
      <w:sz w:val="24"/>
      <w:szCs w:val="24"/>
    </w:rPr>
  </w:style>
  <w:style w:type="paragraph" w:customStyle="1" w:styleId="50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51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2">
    <w:name w:val="二级标题"/>
    <w:basedOn w:val="1"/>
    <w:next w:val="1"/>
    <w:link w:val="53"/>
    <w:qFormat/>
    <w:uiPriority w:val="0"/>
    <w:pPr>
      <w:keepNext/>
      <w:numPr>
        <w:ilvl w:val="1"/>
        <w:numId w:val="2"/>
      </w:numPr>
      <w:spacing w:before="312" w:beforeLines="100" w:after="312" w:afterLines="100" w:line="480" w:lineRule="exact"/>
      <w:ind w:firstLine="0"/>
      <w:jc w:val="left"/>
      <w:outlineLvl w:val="1"/>
    </w:pPr>
    <w:rPr>
      <w:rFonts w:ascii="黑体" w:hAnsi="黑体" w:eastAsia="黑体" w:cs="Times New Roman"/>
      <w:b/>
      <w:sz w:val="32"/>
      <w:szCs w:val="32"/>
    </w:rPr>
  </w:style>
  <w:style w:type="character" w:customStyle="1" w:styleId="53">
    <w:name w:val="二级标题 字符"/>
    <w:basedOn w:val="30"/>
    <w:link w:val="52"/>
    <w:qFormat/>
    <w:uiPriority w:val="0"/>
    <w:rPr>
      <w:rFonts w:ascii="黑体" w:hAnsi="黑体" w:eastAsia="黑体"/>
      <w:b/>
      <w:kern w:val="2"/>
      <w:sz w:val="32"/>
      <w:szCs w:val="32"/>
    </w:rPr>
  </w:style>
  <w:style w:type="paragraph" w:customStyle="1" w:styleId="54">
    <w:name w:val="一级标题"/>
    <w:basedOn w:val="1"/>
    <w:next w:val="1"/>
    <w:link w:val="55"/>
    <w:qFormat/>
    <w:uiPriority w:val="0"/>
    <w:pPr>
      <w:numPr>
        <w:ilvl w:val="0"/>
        <w:numId w:val="2"/>
      </w:numPr>
      <w:spacing w:before="100" w:beforeLines="100" w:after="100" w:afterLines="100" w:line="480" w:lineRule="exact"/>
      <w:ind w:firstLine="0"/>
      <w:jc w:val="left"/>
      <w:outlineLvl w:val="0"/>
    </w:pPr>
    <w:rPr>
      <w:rFonts w:ascii="黑体" w:hAnsi="黑体" w:eastAsia="黑体" w:cs="Times New Roman"/>
      <w:sz w:val="36"/>
      <w:szCs w:val="36"/>
    </w:rPr>
  </w:style>
  <w:style w:type="character" w:customStyle="1" w:styleId="55">
    <w:name w:val="一级标题 字符"/>
    <w:basedOn w:val="30"/>
    <w:link w:val="54"/>
    <w:qFormat/>
    <w:uiPriority w:val="0"/>
    <w:rPr>
      <w:rFonts w:ascii="黑体" w:hAnsi="黑体" w:eastAsia="黑体"/>
      <w:kern w:val="2"/>
      <w:sz w:val="36"/>
      <w:szCs w:val="36"/>
    </w:rPr>
  </w:style>
  <w:style w:type="paragraph" w:customStyle="1" w:styleId="56">
    <w:name w:val="三级标题"/>
    <w:basedOn w:val="1"/>
    <w:next w:val="1"/>
    <w:qFormat/>
    <w:uiPriority w:val="0"/>
    <w:pPr>
      <w:keepNext/>
      <w:numPr>
        <w:ilvl w:val="2"/>
        <w:numId w:val="2"/>
      </w:numPr>
      <w:spacing w:before="312" w:beforeLines="100" w:after="312" w:afterLines="100" w:line="480" w:lineRule="exact"/>
      <w:ind w:firstLine="0"/>
      <w:jc w:val="left"/>
      <w:outlineLvl w:val="2"/>
    </w:pPr>
    <w:rPr>
      <w:rFonts w:ascii="黑体" w:hAnsi="黑体" w:eastAsia="黑体" w:cs="Times New Roman"/>
      <w:b/>
      <w:sz w:val="30"/>
      <w:szCs w:val="30"/>
    </w:rPr>
  </w:style>
  <w:style w:type="paragraph" w:customStyle="1" w:styleId="57">
    <w:name w:val="四级标题"/>
    <w:basedOn w:val="1"/>
    <w:next w:val="1"/>
    <w:qFormat/>
    <w:uiPriority w:val="0"/>
    <w:pPr>
      <w:keepNext/>
      <w:numPr>
        <w:ilvl w:val="3"/>
        <w:numId w:val="2"/>
      </w:numPr>
      <w:spacing w:before="100" w:after="100" w:line="480" w:lineRule="exact"/>
      <w:ind w:firstLine="0"/>
      <w:outlineLvl w:val="3"/>
    </w:pPr>
    <w:rPr>
      <w:rFonts w:ascii="黑体" w:hAnsi="黑体" w:eastAsia="黑体" w:cs="Times New Roman"/>
      <w:b/>
      <w:sz w:val="24"/>
      <w:szCs w:val="28"/>
    </w:rPr>
  </w:style>
  <w:style w:type="paragraph" w:customStyle="1" w:styleId="58">
    <w:name w:val="五级标题"/>
    <w:basedOn w:val="1"/>
    <w:next w:val="1"/>
    <w:qFormat/>
    <w:uiPriority w:val="0"/>
    <w:pPr>
      <w:numPr>
        <w:ilvl w:val="4"/>
        <w:numId w:val="2"/>
      </w:numPr>
      <w:spacing w:before="100" w:after="100" w:line="480" w:lineRule="exact"/>
      <w:ind w:firstLine="0"/>
      <w:outlineLvl w:val="4"/>
    </w:pPr>
    <w:rPr>
      <w:rFonts w:ascii="黑体" w:hAnsi="黑体" w:eastAsia="黑体" w:cs="Times New Roman"/>
      <w:b/>
      <w:sz w:val="24"/>
    </w:rPr>
  </w:style>
  <w:style w:type="paragraph" w:customStyle="1" w:styleId="59">
    <w:name w:val="图"/>
    <w:basedOn w:val="1"/>
    <w:link w:val="60"/>
    <w:qFormat/>
    <w:uiPriority w:val="0"/>
    <w:pPr>
      <w:jc w:val="center"/>
    </w:pPr>
    <w:rPr>
      <w:rFonts w:ascii="宋体" w:hAnsi="宋体" w:eastAsia="宋体" w:cs="Times New Roman"/>
      <w:sz w:val="24"/>
    </w:rPr>
  </w:style>
  <w:style w:type="character" w:customStyle="1" w:styleId="60">
    <w:name w:val="图 字符"/>
    <w:basedOn w:val="30"/>
    <w:link w:val="59"/>
    <w:qFormat/>
    <w:uiPriority w:val="0"/>
    <w:rPr>
      <w:rFonts w:ascii="宋体" w:hAnsi="宋体"/>
      <w:kern w:val="2"/>
      <w:sz w:val="24"/>
      <w:szCs w:val="22"/>
    </w:rPr>
  </w:style>
  <w:style w:type="character" w:customStyle="1" w:styleId="61">
    <w:name w:val="未处理的提及1"/>
    <w:basedOn w:val="3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62">
    <w:name w:val="15"/>
    <w:basedOn w:val="30"/>
    <w:qFormat/>
    <w:uiPriority w:val="0"/>
    <w:rPr>
      <w:rFonts w:hint="eastAsia" w:ascii="等线" w:hAnsi="等线" w:eastAsia="等线"/>
      <w:color w:val="0563C1"/>
      <w:u w:val="single"/>
    </w:rPr>
  </w:style>
  <w:style w:type="paragraph" w:customStyle="1" w:styleId="63">
    <w:name w:val="二级小标题"/>
    <w:basedOn w:val="1"/>
    <w:next w:val="1"/>
    <w:qFormat/>
    <w:uiPriority w:val="0"/>
    <w:pPr>
      <w:widowControl/>
      <w:spacing w:beforeLines="100" w:afterLines="100" w:line="480" w:lineRule="exact"/>
      <w:ind w:left="567" w:hanging="567"/>
      <w:jc w:val="left"/>
      <w:outlineLvl w:val="1"/>
    </w:pPr>
    <w:rPr>
      <w:rFonts w:ascii="Arial" w:hAnsi="Arial" w:eastAsia="黑体" w:cs="Times New Roman"/>
      <w:b/>
      <w:sz w:val="28"/>
      <w:szCs w:val="28"/>
    </w:rPr>
  </w:style>
  <w:style w:type="paragraph" w:customStyle="1" w:styleId="64">
    <w:name w:val="三级小标题"/>
    <w:basedOn w:val="1"/>
    <w:next w:val="1"/>
    <w:qFormat/>
    <w:uiPriority w:val="0"/>
    <w:pPr>
      <w:widowControl/>
      <w:spacing w:beforeLines="100" w:afterLines="100" w:line="480" w:lineRule="exact"/>
      <w:jc w:val="left"/>
      <w:outlineLvl w:val="2"/>
    </w:pPr>
    <w:rPr>
      <w:rFonts w:ascii="黑体" w:hAnsi="黑体" w:eastAsia="黑体" w:cs="Times New Roman"/>
      <w:b/>
      <w:sz w:val="24"/>
      <w:szCs w:val="24"/>
    </w:rPr>
  </w:style>
  <w:style w:type="paragraph" w:customStyle="1" w:styleId="65">
    <w:name w:val="表标题"/>
    <w:basedOn w:val="1"/>
    <w:qFormat/>
    <w:uiPriority w:val="0"/>
    <w:pPr>
      <w:adjustRightInd w:val="0"/>
      <w:snapToGrid w:val="0"/>
      <w:spacing w:beforeLines="50" w:after="100" w:afterAutospacing="1"/>
      <w:jc w:val="center"/>
    </w:pPr>
    <w:rPr>
      <w:rFonts w:ascii="Times New Roman" w:hAnsi="Times New Roman" w:eastAsia="宋体" w:cs="Times New Roman"/>
      <w:sz w:val="24"/>
      <w:szCs w:val="24"/>
    </w:rPr>
  </w:style>
  <w:style w:type="character" w:customStyle="1" w:styleId="66">
    <w:name w:val="正文文本 2 字符"/>
    <w:basedOn w:val="30"/>
    <w:link w:val="25"/>
    <w:semiHidden/>
    <w:qFormat/>
    <w:uiPriority w:val="99"/>
    <w:rPr>
      <w:rFonts w:ascii="HarmonyOS Sans SC Light" w:hAnsi="HarmonyOS Sans SC Light" w:eastAsia="HarmonyOS Sans SC Light" w:cs="宋体"/>
      <w:kern w:val="2"/>
      <w:sz w:val="21"/>
      <w:szCs w:val="21"/>
    </w:rPr>
  </w:style>
  <w:style w:type="paragraph" w:customStyle="1" w:styleId="67">
    <w:name w:val="协议正文"/>
    <w:basedOn w:val="1"/>
    <w:qFormat/>
    <w:uiPriority w:val="0"/>
    <w:pPr>
      <w:snapToGrid w:val="0"/>
      <w:spacing w:line="360" w:lineRule="auto"/>
      <w:ind w:firstLine="200" w:firstLineChars="200"/>
      <w:jc w:val="left"/>
    </w:pPr>
    <w:rPr>
      <w:rFonts w:ascii="Times New Roman" w:hAnsi="Times New Roman" w:eastAsia="宋体" w:cs="Times New Roman"/>
      <w:sz w:val="24"/>
      <w:szCs w:val="24"/>
    </w:rPr>
  </w:style>
  <w:style w:type="paragraph" w:customStyle="1" w:styleId="68">
    <w:name w:val="表格内容"/>
    <w:basedOn w:val="1"/>
    <w:qFormat/>
    <w:uiPriority w:val="0"/>
    <w:pPr>
      <w:widowControl/>
      <w:snapToGrid w:val="0"/>
      <w:jc w:val="left"/>
    </w:pPr>
    <w:rPr>
      <w:rFonts w:ascii="宋体" w:hAnsi="宋体" w:eastAsia="宋体" w:cs="宋体"/>
      <w:kern w:val="0"/>
      <w:sz w:val="18"/>
      <w:szCs w:val="18"/>
    </w:rPr>
  </w:style>
  <w:style w:type="character" w:customStyle="1" w:styleId="69">
    <w:name w:val="正文文本 字符"/>
    <w:basedOn w:val="30"/>
    <w:link w:val="1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70">
    <w:name w:val="Table Text"/>
    <w:basedOn w:val="1"/>
    <w:semiHidden/>
    <w:qFormat/>
    <w:uiPriority w:val="0"/>
    <w:pPr>
      <w:snapToGrid w:val="0"/>
      <w:spacing w:line="360" w:lineRule="auto"/>
      <w:ind w:firstLine="200" w:firstLineChars="200"/>
      <w:jc w:val="left"/>
    </w:pPr>
    <w:rPr>
      <w:rFonts w:ascii="微软雅黑" w:hAnsi="微软雅黑" w:eastAsia="微软雅黑" w:cs="宋体"/>
      <w:szCs w:val="21"/>
    </w:rPr>
  </w:style>
  <w:style w:type="paragraph" w:customStyle="1" w:styleId="71">
    <w:name w:val="四级小标题"/>
    <w:basedOn w:val="1"/>
    <w:next w:val="67"/>
    <w:qFormat/>
    <w:uiPriority w:val="0"/>
    <w:pPr>
      <w:widowControl/>
      <w:spacing w:beforeLines="100" w:afterLines="100" w:line="480" w:lineRule="exact"/>
      <w:ind w:left="440" w:hanging="440"/>
      <w:jc w:val="left"/>
      <w:outlineLvl w:val="3"/>
    </w:pPr>
    <w:rPr>
      <w:rFonts w:ascii="黑体" w:hAnsi="黑体" w:eastAsia="黑体" w:cs="Times New Roman"/>
      <w:b/>
      <w:sz w:val="24"/>
      <w:szCs w:val="24"/>
    </w:rPr>
  </w:style>
  <w:style w:type="paragraph" w:customStyle="1" w:styleId="72">
    <w:name w:val="有序列表"/>
    <w:basedOn w:val="1"/>
    <w:qFormat/>
    <w:uiPriority w:val="0"/>
    <w:pPr>
      <w:snapToGrid w:val="0"/>
      <w:spacing w:before="100" w:beforeAutospacing="1" w:after="100" w:afterAutospacing="1" w:line="360" w:lineRule="auto"/>
      <w:ind w:left="480" w:hanging="480" w:hangingChars="200"/>
      <w:jc w:val="left"/>
    </w:pPr>
    <w:rPr>
      <w:rFonts w:ascii="HarmonyOS Sans SC Light" w:hAnsi="HarmonyOS Sans SC Light" w:eastAsia="宋体" w:cs="思源黑体 CN Normal"/>
      <w:color w:val="000000"/>
      <w:sz w:val="24"/>
      <w:szCs w:val="24"/>
    </w:rPr>
  </w:style>
  <w:style w:type="table" w:customStyle="1" w:styleId="73">
    <w:name w:val="Table Normal"/>
    <w:basedOn w:val="28"/>
    <w:qFormat/>
    <w:uiPriority w:val="0"/>
    <w:rPr>
      <w:rFonts w:eastAsia="Times New Roman"/>
    </w:rPr>
    <w:tblPr>
      <w:tblCellMar>
        <w:left w:w="0" w:type="dxa"/>
        <w:right w:w="0" w:type="dxa"/>
      </w:tblCellMar>
    </w:tblPr>
  </w:style>
  <w:style w:type="paragraph" w:customStyle="1" w:styleId="74">
    <w:name w:val="shieldshopinfo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5">
    <w:name w:val="font31"/>
    <w:basedOn w:val="3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6">
    <w:name w:val="font21"/>
    <w:basedOn w:val="3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7">
    <w:name w:val="font41"/>
    <w:basedOn w:val="3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8">
    <w:name w:val="font51"/>
    <w:basedOn w:val="3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79">
    <w:name w:val="！正文"/>
    <w:basedOn w:val="1"/>
    <w:qFormat/>
    <w:uiPriority w:val="0"/>
    <w:pPr>
      <w:widowControl/>
    </w:pPr>
    <w:rPr>
      <w:b/>
      <w:szCs w:val="20"/>
    </w:rPr>
  </w:style>
  <w:style w:type="paragraph" w:customStyle="1" w:styleId="80">
    <w:name w:val="主体文字样式"/>
    <w:basedOn w:val="1"/>
    <w:qFormat/>
    <w:uiPriority w:val="0"/>
    <w:pPr>
      <w:ind w:firstLine="420" w:firstLineChars="200"/>
      <w:jc w:val="left"/>
    </w:pPr>
    <w:rPr>
      <w:rFonts w:ascii="宋体" w:hAnsi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1E4E2016-35A0-4DAE-A0DE-8E216E8001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kd</Company>
  <Pages>23</Pages>
  <Words>2304</Words>
  <Characters>2804</Characters>
  <Lines>189</Lines>
  <Paragraphs>53</Paragraphs>
  <TotalTime>0</TotalTime>
  <ScaleCrop>false</ScaleCrop>
  <LinksUpToDate>false</LinksUpToDate>
  <CharactersWithSpaces>3007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2025-09-19T09:53:00Z</dcterms:created>
  <dc:creator>marks_wang</dc:creator>
  <cp:lastModifiedBy>尹远～</cp:lastModifiedBy>
  <dcterms:modified xsi:type="dcterms:W3CDTF">2026-01-16T09:18:12Z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91FAA1C5FE5D452090D1703835144A0D_13</vt:lpwstr>
  </property>
  <property fmtid="{D5CDD505-2E9C-101B-9397-08002B2CF9AE}" pid="4" name="KSOTemplateDocerSaveRecord">
    <vt:lpwstr>eyJoZGlkIjoiYWJmNTAxYTA0NTllZTU0OWY5NWY0MWNlMzBjNGU2OTYiLCJ1c2VySWQiOiI0MDM1NTYxNDEifQ==</vt:lpwstr>
  </property>
</Properties>
</file>