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7C66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AGV与上位机（PLC）Modbus TCP通讯技术协议</w:t>
      </w:r>
    </w:p>
    <w:p w14:paraId="1AC22970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1. 协议总则</w:t>
      </w:r>
      <w:bookmarkEnd w:id="0"/>
    </w:p>
    <w:p w14:paraId="73A608A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1.1 协议目的</w:t>
      </w:r>
      <w:bookmarkEnd w:id="1"/>
    </w:p>
    <w:p w14:paraId="6646AF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本协议旨在规范AGV（自动导引车，作为Modbus TCP客户端）与PLC（作为Modbus TCP服务端）之间的通讯交互流程、数据格式、通讯参数及异常处理机制，确保两者之间数据传输的准确性、实时性和可靠性，为AGV上料调度、状态监控、任务下发等业务提供标准化通讯依据。</w:t>
      </w:r>
    </w:p>
    <w:p w14:paraId="7E90BEFE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1.2 适用范围</w:t>
      </w:r>
      <w:bookmarkEnd w:id="2"/>
    </w:p>
    <w:p w14:paraId="1EE727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本协议适用于AGV与PLC之间基于Modbus TCP协议的所有数据交互场景，包括但不限于AGV状态上报、PLC任务下发、参数配置、故障反馈等，覆盖通讯链路建立、数据传输、链路断开的全流程。</w:t>
      </w:r>
    </w:p>
    <w:p w14:paraId="69CCB7EA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1.3 通讯角色定义</w:t>
      </w:r>
      <w:bookmarkEnd w:id="3"/>
    </w:p>
    <w:p w14:paraId="0778601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客户端（AGV）：主动发起通讯连接请求，向PLC发送数据（如心跳、故障状态、放料请求），接收PLC的指令（如位置信息、上料请求、允许放料），可主动断开通讯链路。</w:t>
      </w:r>
    </w:p>
    <w:p w14:paraId="6504354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服务端（PLC）：监听指定端口，被动接收AGV的连接请求，建立通讯链路后，向AGV下发指令（如上料请求），接收AGV的反馈数据（如放料完成），可主动拒绝连接或断开异常链路。</w:t>
      </w:r>
    </w:p>
    <w:p w14:paraId="55D5EABC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1.4 协议基础</w:t>
      </w:r>
      <w:bookmarkEnd w:id="4"/>
    </w:p>
    <w:p w14:paraId="6C29C0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本协议基于Modbus TCP协议（IEC 61158-6-10）制定，遵循Modbus TCP的帧结构、通讯时序和数据编码规则，仅针对AGV与PLC的业务场景，定义专用的数据寄存器地址、数据含义及交互逻辑，未明确部分均遵循Modbus TCP标准协议。</w:t>
      </w:r>
    </w:p>
    <w:p w14:paraId="71803270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2. 通讯参数配置</w:t>
      </w:r>
      <w:bookmarkEnd w:id="5"/>
    </w:p>
    <w:p w14:paraId="4D4BD1F0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2.1 核心通讯参数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1B1CF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4FE2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53B1C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配置值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A7E6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454FD0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424A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通讯协议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CBA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Modbus TCP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13EF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基于TCP/IP协议栈，采用Modbus应用层协议</w:t>
            </w:r>
          </w:p>
        </w:tc>
      </w:tr>
      <w:tr w14:paraId="7CD7D0D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606F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服务端IP地址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F3F5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自定义（如192.168.1.100）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44F6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PLC固定IP，AGV需提前配置该IP用于连接</w:t>
            </w:r>
          </w:p>
        </w:tc>
      </w:tr>
      <w:tr w14:paraId="036D097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176B3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服务端端口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EB26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502（默认）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C184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Modbus TCP标准端口，可根据实际需求修改，双方需保持一致</w:t>
            </w:r>
          </w:p>
        </w:tc>
      </w:tr>
      <w:tr w14:paraId="31EC32E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7352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传输方式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D446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面向连接（TCP）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0576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先建立TCP连接，再进行Modbus数据交互，确保数据可靠传输</w:t>
            </w:r>
          </w:p>
        </w:tc>
      </w:tr>
      <w:tr w14:paraId="484F549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8E50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015D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F87D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标准ASCII码或二进制数据位长度</w:t>
            </w:r>
          </w:p>
        </w:tc>
      </w:tr>
      <w:tr w14:paraId="00513B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BA18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校验位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7C14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无校验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4F7E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TCP协议本身具备校验机制，Modbus TCP层无需额外校验</w:t>
            </w:r>
          </w:p>
        </w:tc>
      </w:tr>
      <w:tr w14:paraId="2DAB412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B19D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停止位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7386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E7AA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数据传输结束标识</w:t>
            </w:r>
          </w:p>
        </w:tc>
      </w:tr>
      <w:tr w14:paraId="28BF35F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6581E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连接超时时间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6E9E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3000ms（可配置）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5D77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AGV发起连接后，若超过该时间未收到PLC响应，则判定连接失败</w:t>
            </w:r>
          </w:p>
        </w:tc>
      </w:tr>
      <w:tr w14:paraId="4288AF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EF3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通讯超时时间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631B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2000ms（可配置）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20A2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AGV发送请求后，若超过该时间未收到PLC响应，则判定通讯超时，重新发起请求（最多重试3次）</w:t>
            </w:r>
          </w:p>
        </w:tc>
      </w:tr>
      <w:tr w14:paraId="63C03A6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2524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心跳周期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E0F8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5000ms（可配置）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C7E7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AGV与PLC建立连接后，AGV每5秒发送一次心跳请求，确认链路通畅</w:t>
            </w:r>
          </w:p>
        </w:tc>
      </w:tr>
    </w:tbl>
    <w:p w14:paraId="69C69340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2.2 参数配置要求</w:t>
      </w:r>
      <w:bookmarkEnd w:id="7"/>
    </w:p>
    <w:p w14:paraId="13AE0EA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PLC需提前配置固定IP地址和端口，确保AGV可通过该IP和端口访问，且端口未被其他程序占用。</w:t>
      </w:r>
    </w:p>
    <w:p w14:paraId="592DEBE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AGV需提前录入PLC IP地址和端口，配置完成后重启通讯模块，确保参数生效。</w:t>
      </w:r>
    </w:p>
    <w:p w14:paraId="6EA47810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双方通讯参数（端口、超时时间、心跳周期等）需保持一致，若需修改，需提前同步双方配置，避免通讯异常。</w:t>
      </w:r>
    </w:p>
    <w:p w14:paraId="44B46674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3. 通讯链路流程</w:t>
      </w:r>
      <w:bookmarkEnd w:id="8"/>
    </w:p>
    <w:p w14:paraId="51E872AB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3.1 链路建立</w:t>
      </w:r>
      <w:bookmarkEnd w:id="9"/>
    </w:p>
    <w:p w14:paraId="456BD386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AGV启动后，通讯模块初始化，加载预设的PLC IP地址和端口参数。</w:t>
      </w:r>
    </w:p>
    <w:p w14:paraId="5B9D4934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AGV主动向PLC发送TCP连接请求（SYN报文）。</w:t>
      </w:r>
    </w:p>
    <w:p w14:paraId="606F887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PLC监听指定端口，收到连接请求后，验证请求合法性（如AGV设备ID），若合法则返回确认报文（SYN+ACK），完成TCP三次握手，建立通讯链路；若不合法则拒绝连接（RST报文）。</w:t>
      </w:r>
    </w:p>
    <w:p w14:paraId="4CA75E1D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链路建立成功后，AGV立即发送一次心跳请求，确认PLC正常在线，PLC收到心跳请求后返回响应，完成链路校验。</w:t>
      </w:r>
    </w:p>
    <w:p w14:paraId="16C133BB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3.2 数据交互</w:t>
      </w:r>
      <w:bookmarkEnd w:id="10"/>
    </w:p>
    <w:p w14:paraId="5D3DECA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链路建立后，AGV根据业务需求，向PLC发送Modbus TCP请求报文（如心跳、故障反馈）。</w:t>
      </w:r>
    </w:p>
    <w:p w14:paraId="506CC98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PLC收到请求报文后，解析报文内容（功能码、寄存器地址、数据长度等），根据业务逻辑处理请求（如读取AGV状态、下发上料指令）。</w:t>
      </w:r>
    </w:p>
    <w:p w14:paraId="2903BDB3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PLC处理完成后，向AGV返回响应报文，包含处理结果、相关指令（如位置信息、允许放料）。</w:t>
      </w:r>
    </w:p>
    <w:p w14:paraId="4BF15496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AGV收到响应报文后，解析报文内容，确认数据无误后，执行对应操作（如执行上料、反馈放料完成）；若数据有误或报文异常，忽略该响应，等待下一次通讯周期或重新发起请求。</w:t>
      </w:r>
    </w:p>
    <w:p w14:paraId="4C1332FC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数据交互过程中，AGV按心跳周期持续发送心跳请求，PLC及时响应，维持链路通畅。</w:t>
      </w:r>
    </w:p>
    <w:p w14:paraId="3B915C00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3.3 链路断开</w:t>
      </w:r>
      <w:bookmarkEnd w:id="11"/>
    </w:p>
    <w:p w14:paraId="724078A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主动断开：AGV完成任务后、关机前，或PLC发出断开指令时，AGV发送TCP断开请求（FIN报文），PLC返回确认报文（FIN+ACK），完成四次挥手，断开链路；PLC也可主动发送断开指令，AGV确认后断开链路。</w:t>
      </w:r>
    </w:p>
    <w:p w14:paraId="48FF91E0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被动断开：当通讯超时、心跳丢失（连续3次心跳无响应）、网络中断或设备故障时，双方自动断开链路；链路断开后，AGV将在10秒后重新发起连接请求，直至连接成功或达到最大重试次数（默认5次），达到最大次数后，AGV上报“通讯故障”。</w:t>
      </w:r>
    </w:p>
    <w:p w14:paraId="425175F2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4. Modbus TCP帧结构定义</w:t>
      </w:r>
      <w:bookmarkEnd w:id="12"/>
    </w:p>
    <w:p w14:paraId="6DDDC3C2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4.1 标准帧结构</w:t>
      </w:r>
      <w:bookmarkEnd w:id="13"/>
    </w:p>
    <w:p w14:paraId="198240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Modbus TCP帧由MBAP头（Modbus Application Protocol Header）和Modbus PDU（Protocol Data Unit）组成，总长度不超过260字节，具体结构如下：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6FB1395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432A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字段名称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ACC3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字节长度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09DE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字段含义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6F77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7BABD88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9B95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事务处理标识符（Transaction ID）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DB0D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ADFE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唯一标识每一次通讯事务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2D84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AGV发起请求时递增，PLC响应时保持与请求一致</w:t>
            </w:r>
          </w:p>
        </w:tc>
      </w:tr>
      <w:tr w14:paraId="4EA5421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75556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协议标识符（Protocol ID）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CAE9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1897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标识通讯协议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1591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固定为0x0000，表示Modbus TCP协议</w:t>
            </w:r>
          </w:p>
        </w:tc>
      </w:tr>
      <w:tr w14:paraId="3615C03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2B05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长度字段（Length）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F302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AFAE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后续字段的总字节数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BCB8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= 单元标识符长度（1字节） + PDU长度</w:t>
            </w:r>
          </w:p>
        </w:tc>
      </w:tr>
      <w:tr w14:paraId="5DDB2C6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AC2B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单元标识符（Unit ID）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E423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1字节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69EF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标识通讯设备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E540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AGV设备ID（0x01~0xFF），PLC通过该ID区分不同AGV</w:t>
            </w:r>
          </w:p>
        </w:tc>
      </w:tr>
      <w:tr w14:paraId="0833BA2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6D84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Modbus PDU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5554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可变（1~253字节）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6DA0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通讯数据主体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0D9F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包含功能码、寄存器地址、数据等，具体见4.2</w:t>
            </w:r>
          </w:p>
        </w:tc>
      </w:tr>
    </w:tbl>
    <w:p w14:paraId="31A069B7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4.2 PDU结构定义</w:t>
      </w:r>
      <w:bookmarkEnd w:id="14"/>
    </w:p>
    <w:p w14:paraId="73B100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PDU是数据交互的核心，根据功能码不同，结构有所差异，本协议主要使用以下4种功能码，对应AGV与PLC的核心业务交互：</w:t>
      </w:r>
    </w:p>
    <w:p w14:paraId="38565C39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4.2.1 功能码0x03：读取保持寄存器</w:t>
      </w:r>
      <w:bookmarkEnd w:id="15"/>
    </w:p>
    <w:p w14:paraId="437D8E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PLC通过该功能码，读取AGV保持寄存器中的数据（如心跳、故障状态等），PDU结构如下：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67ADCD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0AB2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476F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字节长度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382E8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7F3033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5C28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功能码（Function Code）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7830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C41A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固定为0x03</w:t>
            </w:r>
          </w:p>
        </w:tc>
      </w:tr>
      <w:tr w14:paraId="647A90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7D4B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起始寄存器地址（Start Address）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912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1E25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要读取的寄存器起始地址（高位在前，低位在后），具体地址见第5章</w:t>
            </w:r>
          </w:p>
        </w:tc>
      </w:tr>
      <w:tr w14:paraId="73988A6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E182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寄存器数量（Quantity）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57A0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56D5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要读取的寄存器个数（1~125个）</w:t>
            </w:r>
          </w:p>
        </w:tc>
      </w:tr>
    </w:tbl>
    <w:p w14:paraId="6C94B2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响应PDU结构（AGV→PLC）：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60E428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04F2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EC75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字节长度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17B4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640F473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9523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功能码（Function Code）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D69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8548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与请求一致，为0x03</w:t>
            </w:r>
          </w:p>
        </w:tc>
      </w:tr>
      <w:tr w14:paraId="351A5BD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E79D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数据长度（Data Length）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9FE6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933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后续数据的总字节数（= 寄存器数量 × 2）</w:t>
            </w:r>
          </w:p>
        </w:tc>
      </w:tr>
      <w:tr w14:paraId="577B40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9C81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数据（Data）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9F44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可变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8884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读取到的寄存器数据，每个寄存器2字节（高位在前，低位在后）</w:t>
            </w:r>
          </w:p>
        </w:tc>
      </w:tr>
    </w:tbl>
    <w:p w14:paraId="3E6AE4CA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4.2.2 功能码0x06：写单个保持寄存器</w:t>
      </w:r>
      <w:bookmarkEnd w:id="16"/>
    </w:p>
    <w:p w14:paraId="12FD2C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PLC通过该功能码，向AGV单个保持寄存器写入数据（如上料请求、允许放料等），PDU结构如下：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6A330F5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2715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5C97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字节长度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BC4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71DF33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803C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功能码（Function Code）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C928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65B6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固定为0x06</w:t>
            </w:r>
          </w:p>
        </w:tc>
      </w:tr>
      <w:tr w14:paraId="4D07300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EC72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寄存器地址（Address）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525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8382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要写入的寄存器地址（高位在前，低位在后）</w:t>
            </w:r>
          </w:p>
        </w:tc>
      </w:tr>
      <w:tr w14:paraId="62988DD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33B8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写入数据（Data）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6B6C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7E0E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要写入的数据（高位在前，低位在后）</w:t>
            </w:r>
          </w:p>
        </w:tc>
      </w:tr>
    </w:tbl>
    <w:p w14:paraId="729A6B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响应PDU结构（AGV→PLC）：</w:t>
      </w:r>
    </w:p>
    <w:p w14:paraId="03EC52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与请求PDU结构一致，AGV返回写入的寄存器地址和数据，确认写入成功；若写入失败，返回异常响应（功能码最高位置1，即0x86，附加异常码）。</w:t>
      </w:r>
    </w:p>
    <w:p w14:paraId="4D2A4724">
      <w:pPr>
        <w:spacing w:before="320" w:after="120" w:line="288" w:lineRule="auto"/>
        <w:ind w:left="0"/>
        <w:jc w:val="left"/>
        <w:outlineLvl w:val="1"/>
      </w:pPr>
      <w:bookmarkStart w:id="17" w:name="heading_19"/>
      <w:r>
        <w:rPr>
          <w:rFonts w:ascii="Arial" w:hAnsi="Arial" w:eastAsia="等线" w:cs="Arial"/>
          <w:b/>
          <w:sz w:val="32"/>
        </w:rPr>
        <w:t>4.3 异常响应处理</w:t>
      </w:r>
      <w:bookmarkEnd w:id="17"/>
    </w:p>
    <w:p w14:paraId="0318A0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当请求报文非法（如功能码不支持、寄存器地址越界、数据格式错误）或设备故障时，接收方返回异常响应，PDU结构如下：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10D404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8166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字段名称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AD58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字节长度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B81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说明</w:t>
            </w:r>
          </w:p>
        </w:tc>
      </w:tr>
      <w:tr w14:paraId="04402A4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4447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功能码（Function Code）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FF8CDA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28B8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0x0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6</w:t>
            </w:r>
          </w:p>
        </w:tc>
      </w:tr>
      <w:tr w14:paraId="21B1C37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CDB9E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异常码（Exception Code）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F7DE0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字节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CFB4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标识异常类型，具体见下表</w:t>
            </w:r>
          </w:p>
        </w:tc>
      </w:tr>
    </w:tbl>
    <w:p w14:paraId="126085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常见异常码说明：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164988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68D9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异常码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59FA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异常描述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8027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处理建议</w:t>
            </w:r>
          </w:p>
        </w:tc>
      </w:tr>
      <w:tr w14:paraId="7E1A6E1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42B0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0x01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70B6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功能码不支持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026BA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检查请求功能码是否为协议规定的4种（0x03、0x06）</w:t>
            </w:r>
          </w:p>
        </w:tc>
      </w:tr>
      <w:tr w14:paraId="02F8BC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81B4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0x02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1FBF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寄存器地址越界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510A2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检查寄存器地址是否在第5章规定的范围内</w:t>
            </w:r>
          </w:p>
        </w:tc>
      </w:tr>
      <w:tr w14:paraId="2ACE96E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A410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0x03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0F0A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寄存器数量非法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B3F1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调整寄存器数量（0x03、0x10功能码对应数量范围见4.2）</w:t>
            </w:r>
          </w:p>
        </w:tc>
      </w:tr>
      <w:tr w14:paraId="3295FEF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D84C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0x04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6DF1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设备故障，无法处理请求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BE72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检查AGV或PLC设备状态，重启设备后重试</w:t>
            </w:r>
          </w:p>
        </w:tc>
      </w:tr>
    </w:tbl>
    <w:p w14:paraId="7892FEC0">
      <w:pPr>
        <w:spacing w:before="380" w:after="140" w:line="288" w:lineRule="auto"/>
        <w:ind w:left="0"/>
        <w:jc w:val="left"/>
        <w:outlineLvl w:val="0"/>
      </w:pPr>
      <w:bookmarkStart w:id="18" w:name="heading_20"/>
      <w:r>
        <w:rPr>
          <w:rFonts w:ascii="Arial" w:hAnsi="Arial" w:eastAsia="等线" w:cs="Arial"/>
          <w:b/>
          <w:sz w:val="36"/>
        </w:rPr>
        <w:t>5. 寄存器地址及数据定义</w:t>
      </w:r>
      <w:bookmarkEnd w:id="18"/>
    </w:p>
    <w:p w14:paraId="67DB19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本协议基于PLC的数据寄存器定义交互地址，所有寄存器均为16位（2字节），数据格式为二进制，高位在前、低位在后。具体地址定义如下：</w:t>
      </w:r>
    </w:p>
    <w:p w14:paraId="18D3329C">
      <w:pPr>
        <w:spacing w:before="320" w:after="120" w:line="288" w:lineRule="auto"/>
        <w:ind w:left="0"/>
        <w:jc w:val="left"/>
        <w:outlineLvl w:val="1"/>
      </w:pPr>
      <w:bookmarkStart w:id="19" w:name="heading_21"/>
      <w:r>
        <w:rPr>
          <w:rFonts w:ascii="Arial" w:hAnsi="Arial" w:eastAsia="等线" w:cs="Arial"/>
          <w:b/>
          <w:sz w:val="32"/>
        </w:rPr>
        <w:t>5.1 通用地址（AGV与PLC基础交互）</w:t>
      </w:r>
      <w:bookmarkEnd w:id="19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3326"/>
      </w:tblGrid>
      <w:tr w14:paraId="63944AD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46AF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数据类型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1C16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寄存器地址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06F6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描述</w:t>
            </w:r>
          </w:p>
        </w:tc>
        <w:tc>
          <w:tcPr>
            <w:tcW w:w="33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4232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数据含义说明</w:t>
            </w:r>
          </w:p>
        </w:tc>
      </w:tr>
      <w:tr w14:paraId="5FDDA5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5396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E5F6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262A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心跳</w:t>
            </w:r>
          </w:p>
        </w:tc>
        <w:tc>
          <w:tcPr>
            <w:tcW w:w="33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38D74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AGV周期性发送的心跳信号，用于确认AGV在线状态。数值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给1</w:t>
            </w:r>
            <w:r>
              <w:rPr>
                <w:rFonts w:ascii="Arial" w:hAnsi="Arial" w:eastAsia="等线" w:cs="Arial"/>
                <w:sz w:val="22"/>
              </w:rPr>
              <w:t>，PLC检测到超过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5S 数值未变1判</w:t>
            </w:r>
            <w:r>
              <w:rPr>
                <w:rFonts w:ascii="Arial" w:hAnsi="Arial" w:eastAsia="等线" w:cs="Arial"/>
                <w:sz w:val="22"/>
              </w:rPr>
              <w:t>定AGV离线。</w:t>
            </w:r>
          </w:p>
        </w:tc>
      </w:tr>
      <w:tr w14:paraId="3A55EDC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E35E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FDD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502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ADBA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error</w:t>
            </w:r>
          </w:p>
        </w:tc>
        <w:tc>
          <w:tcPr>
            <w:tcW w:w="33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EB52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AGV故障状态标识：0=无故障，1=有故障</w:t>
            </w:r>
          </w:p>
        </w:tc>
      </w:tr>
      <w:tr w14:paraId="246E6EB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078D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70A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504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2E8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error_ID</w:t>
            </w:r>
          </w:p>
        </w:tc>
        <w:tc>
          <w:tcPr>
            <w:tcW w:w="33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1137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AGV具体故障ID：0=无故障，1=低电量，2=碰撞报警，3=导航故障，4=通讯故障，5=电机故障（可扩展）</w:t>
            </w:r>
          </w:p>
        </w:tc>
      </w:tr>
    </w:tbl>
    <w:p w14:paraId="218A1FB6">
      <w:pPr>
        <w:spacing w:before="320" w:after="120" w:line="288" w:lineRule="auto"/>
        <w:ind w:left="0"/>
        <w:jc w:val="left"/>
        <w:outlineLvl w:val="1"/>
      </w:pPr>
      <w:bookmarkStart w:id="20" w:name="heading_22"/>
      <w:r>
        <w:rPr>
          <w:rFonts w:ascii="Arial" w:hAnsi="Arial" w:eastAsia="等线" w:cs="Arial"/>
          <w:b/>
          <w:sz w:val="32"/>
        </w:rPr>
        <w:t>5.2 上料相关地址（AGV与PLC上料流程交互）</w:t>
      </w:r>
      <w:bookmarkEnd w:id="2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3316"/>
      </w:tblGrid>
      <w:tr w14:paraId="47360AE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E947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数据类型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A950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寄存器地址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221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描述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073F4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数据含义说明</w:t>
            </w:r>
          </w:p>
        </w:tc>
      </w:tr>
      <w:tr w14:paraId="055C1F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C260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876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DFED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位置信息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6AE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PLC发送给AGV的上料位置编号（或坐标映射值），例如：1=上料位A，2=上料位B（需根据实际场景定义位置映射表）</w:t>
            </w:r>
          </w:p>
        </w:tc>
      </w:tr>
      <w:tr w14:paraId="42B5EC1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9B36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7F65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1002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BDC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上料请求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2F98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PLC触发AGV执行上料操作的指令：0=无请求，1=请求上料（PLC置1，AGV执行后需PLC复位）</w:t>
            </w:r>
          </w:p>
        </w:tc>
      </w:tr>
      <w:tr w14:paraId="5BC7AA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E022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B4B7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1004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AB2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已收到请求正在执行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2A6B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AGV告知PLC已接收上料请求并开始执行：0=未执行，1=正在执行（AGV置1，任务完成后自动复位）</w:t>
            </w:r>
          </w:p>
        </w:tc>
      </w:tr>
      <w:tr w14:paraId="2A9F996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7729D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5AE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1006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1C36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请求放料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904D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AGV到达上料位后，请求PLC允许放料：0=无请求，1=请求放料（AGV置1，PLC响应后需AGV复位）</w:t>
            </w:r>
          </w:p>
        </w:tc>
      </w:tr>
      <w:tr w14:paraId="5B2D284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4344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D11B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1008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76CE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允许放料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3C05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PLC响应AGV的放料请求，允许执行放料：0=不允许，1=允许放料（PLC置1，AGV放料后需PLC复位）</w:t>
            </w:r>
          </w:p>
        </w:tc>
      </w:tr>
      <w:tr w14:paraId="07D98F8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E522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2AA3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1010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5A2A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放料完成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2DD8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AGV告知PLC放料操作已完成：0=未完成，1=放料完成（AGV置1，PLC确认后需AGV复位）</w:t>
            </w:r>
          </w:p>
        </w:tc>
      </w:tr>
      <w:tr w14:paraId="59F362D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422945E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4312B18">
            <w:pPr>
              <w:spacing w:before="120" w:after="120" w:line="288" w:lineRule="auto"/>
              <w:ind w:left="0" w:leftChars="0"/>
              <w:jc w:val="left"/>
              <w:rPr>
                <w:rFonts w:hint="default" w:eastAsia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1012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F570DE2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error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A78D586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AGV故障状态标识：0=无故障，1=有故障</w:t>
            </w:r>
          </w:p>
        </w:tc>
      </w:tr>
      <w:tr w14:paraId="2E3F2D2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F6E14E7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45E896F">
            <w:pPr>
              <w:spacing w:before="120" w:after="120" w:line="288" w:lineRule="auto"/>
              <w:ind w:left="0" w:leftChars="0"/>
              <w:jc w:val="left"/>
              <w:rPr>
                <w:rFonts w:hint="default" w:eastAsia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1014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0BC9337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error_ID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ACFE0F2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AGV具体故障ID：0=无故障，1=低电量，2=碰撞报警，3=导航故障，4=通讯故障，5=电机故障（可扩展）</w:t>
            </w:r>
          </w:p>
        </w:tc>
      </w:tr>
      <w:tr w14:paraId="1FACFAD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90" w:hRule="atLeast"/>
        </w:trPr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30F7470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bookmarkStart w:id="21" w:name="heading_23"/>
            <w:r>
              <w:rPr>
                <w:rFonts w:ascii="Arial" w:hAnsi="Arial" w:eastAsia="等线" w:cs="Arial"/>
                <w:sz w:val="22"/>
              </w:rPr>
              <w:t>string[50]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3F5B448">
            <w:pPr>
              <w:spacing w:before="120" w:after="120" w:line="288" w:lineRule="auto"/>
              <w:ind w:left="0" w:leftChars="0"/>
              <w:jc w:val="left"/>
              <w:rPr>
                <w:rFonts w:hint="eastAsia" w:eastAsia="等线"/>
                <w:sz w:val="21"/>
                <w:szCs w:val="22"/>
                <w:lang w:eastAsia="zh-CN"/>
              </w:rPr>
            </w:pPr>
            <w:r>
              <w:rPr>
                <w:rFonts w:ascii="Arial" w:hAnsi="Arial" w:eastAsia="等线" w:cs="Arial"/>
                <w:sz w:val="22"/>
              </w:rPr>
              <w:t>101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6</w:t>
            </w:r>
            <w:r>
              <w:rPr>
                <w:rFonts w:ascii="Arial" w:hAnsi="Arial" w:eastAsia="等线" w:cs="Arial"/>
                <w:sz w:val="22"/>
              </w:rPr>
              <w:t>~106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24C6924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条码信息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7A87129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AGV上传的物料条码，用于追溯。存储说明：Modbus每个寄存器存2个字符（ASCII编码），string[50]需占用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50</w:t>
            </w:r>
            <w:r>
              <w:rPr>
                <w:rFonts w:ascii="Arial" w:hAnsi="Arial" w:eastAsia="等线" w:cs="Arial"/>
                <w:sz w:val="22"/>
              </w:rPr>
              <w:t>个寄存器（1012-1061）</w:t>
            </w:r>
          </w:p>
        </w:tc>
      </w:tr>
      <w:tr w14:paraId="169059B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26C724E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string[50]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916F74C">
            <w:pPr>
              <w:spacing w:before="120" w:after="120" w:line="288" w:lineRule="auto"/>
              <w:ind w:left="0" w:leftChars="0"/>
              <w:jc w:val="left"/>
              <w:rPr>
                <w:rFonts w:hint="eastAsia" w:eastAsia="等线"/>
                <w:sz w:val="21"/>
                <w:szCs w:val="22"/>
                <w:lang w:eastAsia="zh-CN"/>
              </w:rPr>
            </w:pPr>
            <w:r>
              <w:rPr>
                <w:rFonts w:ascii="Arial" w:hAnsi="Arial" w:eastAsia="等线" w:cs="Arial"/>
                <w:sz w:val="22"/>
              </w:rPr>
              <w:t>106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7</w:t>
            </w:r>
            <w:r>
              <w:rPr>
                <w:rFonts w:ascii="Arial" w:hAnsi="Arial" w:eastAsia="等线" w:cs="Arial"/>
                <w:sz w:val="22"/>
              </w:rPr>
              <w:t>~111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D09D664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msg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47071B82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AGV上传的消息信息（如状态提示、异常详情）。存储说明：同条码信息，占用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50</w:t>
            </w:r>
            <w:r>
              <w:rPr>
                <w:rFonts w:ascii="Arial" w:hAnsi="Arial" w:eastAsia="等线" w:cs="Arial"/>
                <w:sz w:val="22"/>
              </w:rPr>
              <w:t>个寄存器（1062-1111），可用于传输自定义</w:t>
            </w:r>
          </w:p>
        </w:tc>
      </w:tr>
    </w:tbl>
    <w:p w14:paraId="3B409FA7">
      <w:pPr>
        <w:spacing w:before="380" w:after="140" w:line="288" w:lineRule="auto"/>
        <w:ind w:left="0"/>
        <w:jc w:val="left"/>
        <w:outlineLvl w:val="0"/>
        <w:rPr>
          <w:rFonts w:ascii="Arial" w:hAnsi="Arial" w:eastAsia="等线" w:cs="Arial"/>
          <w:b/>
          <w:sz w:val="36"/>
        </w:rPr>
      </w:pP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3316"/>
      </w:tblGrid>
      <w:tr w14:paraId="1CCB9C6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893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数据类型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861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寄存器地址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036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描述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CE73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数据含义说明</w:t>
            </w:r>
          </w:p>
        </w:tc>
      </w:tr>
      <w:tr w14:paraId="30A4E0B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56CA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1640B7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ACD8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位置信息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A71C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PLC发送给AGV的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下料</w:t>
            </w:r>
            <w:r>
              <w:rPr>
                <w:rFonts w:ascii="Arial" w:hAnsi="Arial" w:eastAsia="等线" w:cs="Arial"/>
                <w:sz w:val="22"/>
              </w:rPr>
              <w:t>位置编号（或坐标映射值），例如：1=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下料</w:t>
            </w:r>
            <w:r>
              <w:rPr>
                <w:rFonts w:ascii="Arial" w:hAnsi="Arial" w:eastAsia="等线" w:cs="Arial"/>
                <w:sz w:val="22"/>
              </w:rPr>
              <w:t>位A，2=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下料</w:t>
            </w:r>
            <w:r>
              <w:rPr>
                <w:rFonts w:ascii="Arial" w:hAnsi="Arial" w:eastAsia="等线" w:cs="Arial"/>
                <w:sz w:val="22"/>
              </w:rPr>
              <w:t>位B（需根据实际场景定义位置映射表）</w:t>
            </w:r>
          </w:p>
        </w:tc>
      </w:tr>
      <w:tr w14:paraId="6420F06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C2FE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FE0271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002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FA4F12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</w:t>
            </w:r>
            <w:r>
              <w:rPr>
                <w:rFonts w:ascii="Arial" w:hAnsi="Arial" w:eastAsia="等线" w:cs="Arial"/>
                <w:sz w:val="22"/>
              </w:rPr>
              <w:t>料请求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DF29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PLC触发AGV执行上料操作的指令：0=无请求，1=请求上料（PLC置1，AGV执行后需PLC复位）</w:t>
            </w:r>
          </w:p>
        </w:tc>
      </w:tr>
      <w:tr w14:paraId="4A7E428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E8F9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73402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004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A84F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已收到请求正在执行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9EAF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AGV告知PLC已接收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</w:t>
            </w:r>
            <w:r>
              <w:rPr>
                <w:rFonts w:ascii="Arial" w:hAnsi="Arial" w:eastAsia="等线" w:cs="Arial"/>
                <w:sz w:val="22"/>
              </w:rPr>
              <w:t>请求并开始执行：0=未执行，1=正在执行（AGV置1，任务完成后自动复位）</w:t>
            </w:r>
          </w:p>
        </w:tc>
      </w:tr>
      <w:tr w14:paraId="66EDB6B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6EA5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756F48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006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EF869">
            <w:pPr>
              <w:spacing w:before="120" w:after="120" w:line="288" w:lineRule="auto"/>
              <w:ind w:left="0"/>
              <w:jc w:val="left"/>
              <w:rPr>
                <w:rFonts w:hint="eastAsia" w:eastAsia="等线"/>
                <w:lang w:eastAsia="zh-CN"/>
              </w:rPr>
            </w:pPr>
            <w:r>
              <w:rPr>
                <w:rFonts w:ascii="Arial" w:hAnsi="Arial" w:eastAsia="等线" w:cs="Arial"/>
                <w:sz w:val="22"/>
              </w:rPr>
              <w:t>请求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下料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0818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AGV到达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下</w:t>
            </w:r>
            <w:r>
              <w:rPr>
                <w:rFonts w:ascii="Arial" w:hAnsi="Arial" w:eastAsia="等线" w:cs="Arial"/>
                <w:sz w:val="22"/>
              </w:rPr>
              <w:t>位后，请求PLC允许放料：0=无请求，1=请求放料（AGV置1，PLC响应后需AGV复位）</w:t>
            </w:r>
          </w:p>
        </w:tc>
      </w:tr>
      <w:tr w14:paraId="03EDF3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49DF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3A8C0B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008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F00B61">
            <w:pPr>
              <w:spacing w:before="120" w:after="120" w:line="288" w:lineRule="auto"/>
              <w:ind w:left="0"/>
              <w:jc w:val="left"/>
              <w:rPr>
                <w:rFonts w:hint="eastAsia" w:eastAsia="等线"/>
                <w:lang w:eastAsia="zh-CN"/>
              </w:rPr>
            </w:pPr>
            <w:r>
              <w:rPr>
                <w:rFonts w:ascii="Arial" w:hAnsi="Arial" w:eastAsia="等线" w:cs="Arial"/>
                <w:sz w:val="22"/>
              </w:rPr>
              <w:t>允许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取料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E353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PLC响应AGV的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取料</w:t>
            </w:r>
            <w:r>
              <w:rPr>
                <w:rFonts w:ascii="Arial" w:hAnsi="Arial" w:eastAsia="等线" w:cs="Arial"/>
                <w:sz w:val="22"/>
              </w:rPr>
              <w:t>请求，允许执行放料：0=不允许，1=允许放料（PLC置1，AGV放料后需PLC复位）</w:t>
            </w:r>
          </w:p>
        </w:tc>
      </w:tr>
      <w:tr w14:paraId="19EC36E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B70C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64039A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010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A3206B">
            <w:pPr>
              <w:spacing w:before="120" w:after="120" w:line="288" w:lineRule="auto"/>
              <w:ind w:left="0"/>
              <w:jc w:val="left"/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取料</w:t>
            </w:r>
            <w:r>
              <w:rPr>
                <w:rFonts w:ascii="Arial" w:hAnsi="Arial" w:eastAsia="等线" w:cs="Arial"/>
                <w:sz w:val="22"/>
              </w:rPr>
              <w:t>完成</w:t>
            </w:r>
          </w:p>
        </w:tc>
        <w:tc>
          <w:tcPr>
            <w:tcW w:w="331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36A21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AGV告知PLC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取料</w:t>
            </w:r>
            <w:r>
              <w:rPr>
                <w:rFonts w:ascii="Arial" w:hAnsi="Arial" w:eastAsia="等线" w:cs="Arial"/>
                <w:sz w:val="22"/>
              </w:rPr>
              <w:t>操作已完成：0=未完成，1=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取料</w:t>
            </w:r>
            <w:r>
              <w:rPr>
                <w:rFonts w:ascii="Arial" w:hAnsi="Arial" w:eastAsia="等线" w:cs="Arial"/>
                <w:sz w:val="22"/>
              </w:rPr>
              <w:t>完成（AGV置1，PLC确认后需AGV复位）</w:t>
            </w:r>
          </w:p>
        </w:tc>
      </w:tr>
      <w:tr w14:paraId="6E80E83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CB44916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A03B7E3">
            <w:pPr>
              <w:spacing w:before="120" w:after="120" w:line="288" w:lineRule="auto"/>
              <w:ind w:left="0" w:leftChars="0"/>
              <w:jc w:val="left"/>
              <w:rPr>
                <w:rFonts w:hint="default" w:eastAsia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2012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4ABB4DF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error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2C7C7F2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AGV故障状态标识：0=无故障，1=有故障</w:t>
            </w:r>
          </w:p>
        </w:tc>
      </w:tr>
      <w:tr w14:paraId="5B38AC4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539CEC4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int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C4F4B27">
            <w:pPr>
              <w:spacing w:before="120" w:after="120" w:line="288" w:lineRule="auto"/>
              <w:ind w:left="0" w:leftChars="0"/>
              <w:jc w:val="left"/>
              <w:rPr>
                <w:rFonts w:hint="default" w:eastAsia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2014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9F34FA1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error_ID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2D89DBC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AGV具体故障ID：0=无故障，1=低电量，2=碰撞报警，3=导航故障，4=通讯故障，5=电机故障（可扩展）</w:t>
            </w:r>
          </w:p>
        </w:tc>
      </w:tr>
      <w:tr w14:paraId="7BE553A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90" w:hRule="atLeast"/>
        </w:trPr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066977C1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string[50]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A4099FB">
            <w:pPr>
              <w:spacing w:before="120" w:after="120" w:line="288" w:lineRule="auto"/>
              <w:ind w:left="0" w:leftChars="0"/>
              <w:jc w:val="left"/>
              <w:rPr>
                <w:rFonts w:hint="eastAsia" w:eastAsia="等线"/>
                <w:sz w:val="21"/>
                <w:szCs w:val="22"/>
                <w:lang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01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6</w:t>
            </w:r>
            <w:r>
              <w:rPr>
                <w:rFonts w:ascii="Arial" w:hAnsi="Arial" w:eastAsia="等线" w:cs="Arial"/>
                <w:sz w:val="22"/>
              </w:rPr>
              <w:t>~106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68EB356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条码信息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65C49E5C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AGV上传的物料条码，用于追溯。存储说明：Modbus每个寄存器存2个字符（ASCII编码），string[50]需占用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50</w:t>
            </w:r>
            <w:r>
              <w:rPr>
                <w:rFonts w:ascii="Arial" w:hAnsi="Arial" w:eastAsia="等线" w:cs="Arial"/>
                <w:sz w:val="22"/>
              </w:rPr>
              <w:t>个寄存器（1012-1061）</w:t>
            </w:r>
          </w:p>
        </w:tc>
      </w:tr>
      <w:tr w14:paraId="590D6F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35720B6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string[50]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2A74BA2">
            <w:pPr>
              <w:spacing w:before="120" w:after="120" w:line="288" w:lineRule="auto"/>
              <w:ind w:left="0" w:leftChars="0"/>
              <w:jc w:val="left"/>
              <w:rPr>
                <w:rFonts w:hint="eastAsia" w:eastAsia="等线"/>
                <w:sz w:val="21"/>
                <w:szCs w:val="22"/>
                <w:lang w:eastAsia="zh-CN"/>
              </w:rPr>
            </w:pP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2</w:t>
            </w:r>
            <w:r>
              <w:rPr>
                <w:rFonts w:ascii="Arial" w:hAnsi="Arial" w:eastAsia="等线" w:cs="Arial"/>
                <w:sz w:val="22"/>
              </w:rPr>
              <w:t>06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7</w:t>
            </w:r>
            <w:r>
              <w:rPr>
                <w:rFonts w:ascii="Arial" w:hAnsi="Arial" w:eastAsia="等线" w:cs="Arial"/>
                <w:sz w:val="22"/>
              </w:rPr>
              <w:t>~111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165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78061FA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msg</w:t>
            </w:r>
          </w:p>
        </w:tc>
        <w:tc>
          <w:tcPr>
            <w:tcW w:w="3316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99ECDBD">
            <w:pPr>
              <w:spacing w:before="120" w:after="120" w:line="288" w:lineRule="auto"/>
              <w:ind w:left="0" w:leftChars="0"/>
              <w:jc w:val="left"/>
              <w:rPr>
                <w:sz w:val="21"/>
                <w:szCs w:val="22"/>
              </w:rPr>
            </w:pPr>
            <w:r>
              <w:rPr>
                <w:rFonts w:ascii="Arial" w:hAnsi="Arial" w:eastAsia="等线" w:cs="Arial"/>
                <w:sz w:val="22"/>
              </w:rPr>
              <w:t>AGV上传的消息信息（如状态提示、异常详</w:t>
            </w:r>
            <w:bookmarkStart w:id="31" w:name="_GoBack"/>
            <w:bookmarkEnd w:id="31"/>
            <w:r>
              <w:rPr>
                <w:rFonts w:ascii="Arial" w:hAnsi="Arial" w:eastAsia="等线" w:cs="Arial"/>
                <w:sz w:val="22"/>
              </w:rPr>
              <w:t>情）。存储说明：同条码信息，占用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>50</w:t>
            </w:r>
            <w:r>
              <w:rPr>
                <w:rFonts w:ascii="Arial" w:hAnsi="Arial" w:eastAsia="等线" w:cs="Arial"/>
                <w:sz w:val="22"/>
              </w:rPr>
              <w:t>个寄存器（1062-1111），可用于传输自定义</w:t>
            </w:r>
          </w:p>
        </w:tc>
      </w:tr>
    </w:tbl>
    <w:p w14:paraId="379A2CBE">
      <w:pPr>
        <w:spacing w:before="380" w:after="140" w:line="288" w:lineRule="auto"/>
        <w:ind w:left="0"/>
        <w:jc w:val="left"/>
        <w:outlineLvl w:val="0"/>
        <w:rPr>
          <w:rFonts w:ascii="Arial" w:hAnsi="Arial" w:eastAsia="等线" w:cs="Arial"/>
          <w:b/>
          <w:sz w:val="36"/>
        </w:rPr>
      </w:pPr>
    </w:p>
    <w:p w14:paraId="2D57A98B">
      <w:pPr>
        <w:spacing w:before="380" w:after="140" w:line="288" w:lineRule="auto"/>
        <w:ind w:left="0"/>
        <w:jc w:val="left"/>
        <w:outlineLvl w:val="0"/>
        <w:rPr>
          <w:rFonts w:ascii="Arial" w:hAnsi="Arial" w:eastAsia="等线" w:cs="Arial"/>
          <w:b/>
          <w:sz w:val="36"/>
        </w:rPr>
      </w:pPr>
    </w:p>
    <w:p w14:paraId="4B635D2C">
      <w:pPr>
        <w:spacing w:before="380" w:after="140" w:line="288" w:lineRule="auto"/>
        <w:ind w:left="0"/>
        <w:jc w:val="left"/>
        <w:outlineLvl w:val="0"/>
      </w:pPr>
      <w:r>
        <w:rPr>
          <w:rFonts w:ascii="Arial" w:hAnsi="Arial" w:eastAsia="等线" w:cs="Arial"/>
          <w:b/>
          <w:sz w:val="36"/>
        </w:rPr>
        <w:t>6. 业务交互流程</w:t>
      </w:r>
      <w:bookmarkEnd w:id="21"/>
    </w:p>
    <w:p w14:paraId="2F842333">
      <w:pPr>
        <w:spacing w:before="320" w:after="120" w:line="288" w:lineRule="auto"/>
        <w:ind w:left="0"/>
        <w:jc w:val="left"/>
        <w:outlineLvl w:val="1"/>
      </w:pPr>
      <w:bookmarkStart w:id="22" w:name="heading_24"/>
      <w:r>
        <w:rPr>
          <w:rFonts w:ascii="Arial" w:hAnsi="Arial" w:eastAsia="等线" w:cs="Arial"/>
          <w:b/>
          <w:sz w:val="32"/>
        </w:rPr>
        <w:t>6.1 上料流程交互（基于寄存器地址的完整握手逻辑）</w:t>
      </w:r>
      <w:bookmarkEnd w:id="22"/>
    </w:p>
    <w:p w14:paraId="6C6A6C72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链路建立与心跳检测：</w:t>
      </w:r>
    </w:p>
    <w:p w14:paraId="23AA19C5">
      <w:pPr>
        <w:numPr>
          <w:ilvl w:val="0"/>
          <w:numId w:val="1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AGV与PLC建立Modbus TCP连接，AGV周期性（如5秒）向500写入心跳信号（0/1交替）。</w:t>
      </w:r>
    </w:p>
    <w:p w14:paraId="68F280CB">
      <w:pPr>
        <w:numPr>
          <w:ilvl w:val="0"/>
          <w:numId w:val="1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PLC检测</w:t>
      </w:r>
      <w:r>
        <w:rPr>
          <w:rFonts w:hint="eastAsia" w:ascii="Arial" w:hAnsi="Arial" w:eastAsia="等线" w:cs="Arial"/>
          <w:sz w:val="22"/>
          <w:lang w:val="en-US" w:eastAsia="zh-CN"/>
        </w:rPr>
        <w:t>AGV</w:t>
      </w:r>
      <w:r>
        <w:rPr>
          <w:rFonts w:ascii="Arial" w:hAnsi="Arial" w:eastAsia="等线" w:cs="Arial"/>
          <w:sz w:val="22"/>
        </w:rPr>
        <w:t>的心跳变化，确认AGV在线；若超过</w:t>
      </w:r>
      <w:r>
        <w:rPr>
          <w:rFonts w:hint="eastAsia" w:ascii="Arial" w:hAnsi="Arial" w:eastAsia="等线" w:cs="Arial"/>
          <w:sz w:val="22"/>
          <w:lang w:val="en-US" w:eastAsia="zh-CN"/>
        </w:rPr>
        <w:t>5</w:t>
      </w:r>
      <w:r>
        <w:rPr>
          <w:rFonts w:ascii="Arial" w:hAnsi="Arial" w:eastAsia="等线" w:cs="Arial"/>
          <w:sz w:val="22"/>
        </w:rPr>
        <w:t>秒未检测到变化，判定AGV离线，触发告警。</w:t>
      </w:r>
    </w:p>
    <w:p w14:paraId="4D2F1407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PLC发起上料请求：</w:t>
      </w:r>
      <w:r>
        <w:rPr>
          <w:rFonts w:ascii="Arial" w:hAnsi="Arial" w:eastAsia="等线" w:cs="Arial"/>
          <w:sz w:val="22"/>
        </w:rPr>
        <w:br w:type="textWrapping"/>
      </w:r>
    </w:p>
    <w:p w14:paraId="48A03F1F">
      <w:pPr>
        <w:numPr>
          <w:ilvl w:val="0"/>
          <w:numId w:val="2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PLC准备好上料后，向1000写入位置信息（如1=上料位A），向1002写入1（上料请求）。</w:t>
      </w:r>
    </w:p>
    <w:p w14:paraId="7880E858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AGV接收并执行请求：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6F618905">
      <w:pPr>
        <w:numPr>
          <w:ilvl w:val="0"/>
          <w:numId w:val="2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AGV检测到1002为1，读取1000的位置信息，向1004写入1（已收到请求正在执行），</w:t>
      </w:r>
      <w:r>
        <w:rPr>
          <w:rFonts w:hint="eastAsia" w:ascii="Arial" w:hAnsi="Arial" w:eastAsia="等线" w:cs="Arial"/>
          <w:sz w:val="22"/>
          <w:lang w:val="en-US" w:eastAsia="zh-CN"/>
        </w:rPr>
        <w:t>PLC检测到1004为1，复位1002</w:t>
      </w:r>
    </w:p>
    <w:p w14:paraId="7577AD1F">
      <w:pPr>
        <w:numPr>
          <w:ilvl w:val="0"/>
          <w:numId w:val="2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AGV根据位置信息移动到目标上料位。</w:t>
      </w:r>
    </w:p>
    <w:p w14:paraId="336D1EC7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AGV请求放料与PLC响应：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5B81F871">
      <w:pPr>
        <w:numPr>
          <w:ilvl w:val="0"/>
          <w:numId w:val="2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AGV到达上料位后，向1006写入1（请求放料）。</w:t>
      </w:r>
    </w:p>
    <w:p w14:paraId="2B59317E">
      <w:pPr>
        <w:numPr>
          <w:ilvl w:val="0"/>
          <w:numId w:val="2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PLC检测到1006为1，确认现场允许放料后，向1008写入1（允许放料）。</w:t>
      </w:r>
    </w:p>
    <w:p w14:paraId="7DACC863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AGV执行放料并反馈完成：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40AD8BD2">
      <w:pPr>
        <w:numPr>
          <w:ilvl w:val="0"/>
          <w:numId w:val="2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AGV检测到1008为1，执行放料操作，同时向1012~1061写入条码信息，向1062~1111写入可选的msg信息。</w:t>
      </w:r>
    </w:p>
    <w:p w14:paraId="09DED32D">
      <w:pPr>
        <w:numPr>
          <w:ilvl w:val="0"/>
          <w:numId w:val="3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放料完成后，AGV向1010写入1（放料完成），等待下一次上料请求。</w:t>
      </w:r>
    </w:p>
    <w:p w14:paraId="40084940">
      <w:pPr>
        <w:numPr>
          <w:ilvl w:val="0"/>
          <w:numId w:val="31"/>
        </w:numPr>
        <w:spacing w:before="120" w:after="120" w:line="288" w:lineRule="auto"/>
        <w:ind w:left="453"/>
        <w:jc w:val="left"/>
      </w:pPr>
    </w:p>
    <w:p w14:paraId="16D186F5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PLC确认流程结束：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110BF450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PLC检测到1010为1，读取条码信息和msg，确认上料流程完成，复位1010</w:t>
      </w:r>
      <w:r>
        <w:rPr>
          <w:rFonts w:hint="eastAsia" w:ascii="Arial" w:hAnsi="Arial" w:eastAsia="等线" w:cs="Arial"/>
          <w:sz w:val="22"/>
          <w:lang w:val="en-US" w:eastAsia="zh-CN"/>
        </w:rPr>
        <w:t>&amp;</w:t>
      </w:r>
      <w:r>
        <w:rPr>
          <w:rFonts w:ascii="Arial" w:hAnsi="Arial" w:eastAsia="等线" w:cs="Arial"/>
          <w:sz w:val="22"/>
        </w:rPr>
        <w:t>1000</w:t>
      </w:r>
      <w:r>
        <w:rPr>
          <w:rFonts w:hint="eastAsia" w:ascii="Arial" w:hAnsi="Arial" w:eastAsia="等线" w:cs="Arial"/>
          <w:sz w:val="22"/>
          <w:lang w:val="en-US" w:eastAsia="zh-CN"/>
        </w:rPr>
        <w:t>&amp;</w:t>
      </w:r>
      <w:r>
        <w:rPr>
          <w:rFonts w:ascii="Arial" w:hAnsi="Arial" w:eastAsia="等线" w:cs="Arial"/>
          <w:sz w:val="22"/>
        </w:rPr>
        <w:t>1006</w:t>
      </w:r>
      <w:r>
        <w:rPr>
          <w:rFonts w:hint="eastAsia" w:ascii="Arial" w:hAnsi="Arial" w:eastAsia="等线" w:cs="Arial"/>
          <w:sz w:val="22"/>
          <w:lang w:val="en-US" w:eastAsia="zh-CN"/>
        </w:rPr>
        <w:t>&amp;</w:t>
      </w:r>
      <w:r>
        <w:rPr>
          <w:rFonts w:ascii="Arial" w:hAnsi="Arial" w:eastAsia="等线" w:cs="Arial"/>
          <w:sz w:val="22"/>
        </w:rPr>
        <w:t>1008。</w:t>
      </w:r>
    </w:p>
    <w:p w14:paraId="62061C3D">
      <w:pPr>
        <w:numPr>
          <w:numId w:val="0"/>
        </w:numPr>
        <w:spacing w:before="120" w:after="120" w:line="288" w:lineRule="auto"/>
        <w:jc w:val="left"/>
      </w:pPr>
    </w:p>
    <w:p w14:paraId="6380B3A2">
      <w:pPr>
        <w:spacing w:before="320" w:after="120" w:line="288" w:lineRule="auto"/>
        <w:ind w:left="0"/>
        <w:jc w:val="left"/>
        <w:outlineLvl w:val="1"/>
      </w:pPr>
      <w:r>
        <w:rPr>
          <w:rFonts w:ascii="Arial" w:hAnsi="Arial" w:eastAsia="等线" w:cs="Arial"/>
          <w:b/>
          <w:sz w:val="32"/>
        </w:rPr>
        <w:t>6.</w:t>
      </w:r>
      <w:r>
        <w:rPr>
          <w:rFonts w:hint="eastAsia" w:ascii="Arial" w:hAnsi="Arial" w:eastAsia="等线" w:cs="Arial"/>
          <w:b/>
          <w:sz w:val="32"/>
          <w:lang w:val="en-US" w:eastAsia="zh-CN"/>
        </w:rPr>
        <w:t>2</w:t>
      </w:r>
      <w:r>
        <w:rPr>
          <w:rFonts w:ascii="Arial" w:hAnsi="Arial" w:eastAsia="等线" w:cs="Arial"/>
          <w:b/>
          <w:sz w:val="32"/>
        </w:rPr>
        <w:t xml:space="preserve"> </w:t>
      </w:r>
      <w:r>
        <w:rPr>
          <w:rFonts w:hint="eastAsia" w:ascii="Arial" w:hAnsi="Arial" w:eastAsia="等线" w:cs="Arial"/>
          <w:b/>
          <w:sz w:val="32"/>
          <w:lang w:val="en-US" w:eastAsia="zh-CN"/>
        </w:rPr>
        <w:t>下</w:t>
      </w:r>
      <w:r>
        <w:rPr>
          <w:rFonts w:ascii="Arial" w:hAnsi="Arial" w:eastAsia="等线" w:cs="Arial"/>
          <w:b/>
          <w:sz w:val="32"/>
        </w:rPr>
        <w:t>料流程交互（基于寄存器地址的完整握手逻辑）</w:t>
      </w:r>
    </w:p>
    <w:p w14:paraId="581C48BF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PLC发起</w:t>
      </w:r>
      <w:r>
        <w:rPr>
          <w:rFonts w:hint="eastAsia" w:ascii="Arial" w:hAnsi="Arial" w:eastAsia="等线" w:cs="Arial"/>
          <w:sz w:val="22"/>
          <w:lang w:val="en-US" w:eastAsia="zh-CN"/>
        </w:rPr>
        <w:t>下料</w:t>
      </w:r>
      <w:r>
        <w:rPr>
          <w:rFonts w:ascii="Arial" w:hAnsi="Arial" w:eastAsia="等线" w:cs="Arial"/>
          <w:sz w:val="22"/>
        </w:rPr>
        <w:t>请求：</w:t>
      </w:r>
      <w:r>
        <w:rPr>
          <w:rFonts w:ascii="Arial" w:hAnsi="Arial" w:eastAsia="等线" w:cs="Arial"/>
          <w:sz w:val="22"/>
        </w:rPr>
        <w:br w:type="textWrapping"/>
      </w:r>
    </w:p>
    <w:p w14:paraId="4212E9FB">
      <w:pPr>
        <w:numPr>
          <w:ilvl w:val="0"/>
          <w:numId w:val="2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PLC准备好</w:t>
      </w:r>
      <w:r>
        <w:rPr>
          <w:rFonts w:hint="eastAsia" w:ascii="Arial" w:hAnsi="Arial" w:eastAsia="等线" w:cs="Arial"/>
          <w:sz w:val="22"/>
          <w:lang w:val="en-US" w:eastAsia="zh-CN"/>
        </w:rPr>
        <w:t>下</w:t>
      </w:r>
      <w:r>
        <w:rPr>
          <w:rFonts w:ascii="Arial" w:hAnsi="Arial" w:eastAsia="等线" w:cs="Arial"/>
          <w:sz w:val="22"/>
        </w:rPr>
        <w:t>料后，向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000写入位置信息（如1=上料位A），向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002写入1（上料请求）</w:t>
      </w:r>
      <w:r>
        <w:rPr>
          <w:rFonts w:hint="eastAsia" w:ascii="Arial" w:hAnsi="Arial" w:eastAsia="等线" w:cs="Arial"/>
          <w:sz w:val="22"/>
          <w:lang w:eastAsia="zh-CN"/>
        </w:rPr>
        <w:t>，</w:t>
      </w:r>
      <w:r>
        <w:rPr>
          <w:rFonts w:hint="eastAsia" w:ascii="Arial" w:hAnsi="Arial" w:eastAsia="等线" w:cs="Arial"/>
          <w:sz w:val="22"/>
          <w:lang w:val="en-US" w:eastAsia="zh-CN"/>
        </w:rPr>
        <w:t>PLC</w:t>
      </w:r>
      <w:r>
        <w:rPr>
          <w:rFonts w:ascii="Arial" w:hAnsi="Arial" w:eastAsia="等线" w:cs="Arial"/>
          <w:sz w:val="22"/>
        </w:rPr>
        <w:t>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012~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061写入条码信息，向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062~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111写入可选的msg信息。</w:t>
      </w:r>
    </w:p>
    <w:p w14:paraId="2F025402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AGV接收并执行请求：</w:t>
      </w:r>
    </w:p>
    <w:p w14:paraId="50E8CAED">
      <w:pPr>
        <w:numPr>
          <w:ilvl w:val="0"/>
          <w:numId w:val="2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AGV检测到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002为1，读取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000的位置信息，向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004写入1（已收到请求正在执行），</w:t>
      </w:r>
      <w:r>
        <w:rPr>
          <w:rFonts w:hint="eastAsia" w:ascii="Arial" w:hAnsi="Arial" w:eastAsia="等线" w:cs="Arial"/>
          <w:sz w:val="22"/>
          <w:lang w:val="en-US" w:eastAsia="zh-CN"/>
        </w:rPr>
        <w:t>PLC检测到2004为1，复位1002</w:t>
      </w:r>
    </w:p>
    <w:p w14:paraId="7AA2E736">
      <w:pPr>
        <w:numPr>
          <w:ilvl w:val="0"/>
          <w:numId w:val="2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AGV根据位置信息移动到目标</w:t>
      </w:r>
      <w:r>
        <w:rPr>
          <w:rFonts w:hint="eastAsia" w:ascii="Arial" w:hAnsi="Arial" w:eastAsia="等线" w:cs="Arial"/>
          <w:sz w:val="22"/>
          <w:lang w:val="en-US" w:eastAsia="zh-CN"/>
        </w:rPr>
        <w:t>下</w:t>
      </w:r>
      <w:r>
        <w:rPr>
          <w:rFonts w:ascii="Arial" w:hAnsi="Arial" w:eastAsia="等线" w:cs="Arial"/>
          <w:sz w:val="22"/>
        </w:rPr>
        <w:t>料位。</w:t>
      </w:r>
    </w:p>
    <w:p w14:paraId="1C669AE0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AGV请求</w:t>
      </w:r>
      <w:r>
        <w:rPr>
          <w:rFonts w:hint="eastAsia" w:ascii="Arial" w:hAnsi="Arial" w:eastAsia="等线" w:cs="Arial"/>
          <w:sz w:val="22"/>
          <w:lang w:val="en-US" w:eastAsia="zh-CN"/>
        </w:rPr>
        <w:t>取料</w:t>
      </w:r>
      <w:r>
        <w:rPr>
          <w:rFonts w:ascii="Arial" w:hAnsi="Arial" w:eastAsia="等线" w:cs="Arial"/>
          <w:sz w:val="22"/>
        </w:rPr>
        <w:t>与PLC响应：</w:t>
      </w:r>
    </w:p>
    <w:p w14:paraId="1E05744B">
      <w:pPr>
        <w:numPr>
          <w:ilvl w:val="0"/>
          <w:numId w:val="2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AGV到达</w:t>
      </w:r>
      <w:r>
        <w:rPr>
          <w:rFonts w:hint="eastAsia" w:ascii="Arial" w:hAnsi="Arial" w:eastAsia="等线" w:cs="Arial"/>
          <w:sz w:val="22"/>
          <w:lang w:val="en-US" w:eastAsia="zh-CN"/>
        </w:rPr>
        <w:t>下料</w:t>
      </w:r>
      <w:r>
        <w:rPr>
          <w:rFonts w:ascii="Arial" w:hAnsi="Arial" w:eastAsia="等线" w:cs="Arial"/>
          <w:sz w:val="22"/>
        </w:rPr>
        <w:t>位后，向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006写入1（请求</w:t>
      </w:r>
      <w:r>
        <w:rPr>
          <w:rFonts w:hint="eastAsia" w:ascii="Arial" w:hAnsi="Arial" w:eastAsia="等线" w:cs="Arial"/>
          <w:sz w:val="22"/>
          <w:lang w:val="en-US" w:eastAsia="zh-CN"/>
        </w:rPr>
        <w:t>下料</w:t>
      </w:r>
      <w:r>
        <w:rPr>
          <w:rFonts w:ascii="Arial" w:hAnsi="Arial" w:eastAsia="等线" w:cs="Arial"/>
          <w:sz w:val="22"/>
        </w:rPr>
        <w:t>）。</w:t>
      </w:r>
    </w:p>
    <w:p w14:paraId="5AC6FA55">
      <w:pPr>
        <w:numPr>
          <w:ilvl w:val="0"/>
          <w:numId w:val="2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PLC检测到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006为1，确认现场允许</w:t>
      </w:r>
      <w:r>
        <w:rPr>
          <w:rFonts w:hint="eastAsia" w:ascii="Arial" w:hAnsi="Arial" w:eastAsia="等线" w:cs="Arial"/>
          <w:sz w:val="22"/>
          <w:lang w:val="en-US" w:eastAsia="zh-CN"/>
        </w:rPr>
        <w:t>下</w:t>
      </w:r>
      <w:r>
        <w:rPr>
          <w:rFonts w:ascii="Arial" w:hAnsi="Arial" w:eastAsia="等线" w:cs="Arial"/>
          <w:sz w:val="22"/>
        </w:rPr>
        <w:t>料后，向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008写入1（允许</w:t>
      </w:r>
      <w:r>
        <w:rPr>
          <w:rFonts w:hint="eastAsia" w:ascii="Arial" w:hAnsi="Arial" w:eastAsia="等线" w:cs="Arial"/>
          <w:sz w:val="22"/>
          <w:lang w:val="en-US" w:eastAsia="zh-CN"/>
        </w:rPr>
        <w:t>下料</w:t>
      </w:r>
      <w:r>
        <w:rPr>
          <w:rFonts w:ascii="Arial" w:hAnsi="Arial" w:eastAsia="等线" w:cs="Arial"/>
          <w:sz w:val="22"/>
        </w:rPr>
        <w:t>）。</w:t>
      </w:r>
    </w:p>
    <w:p w14:paraId="439D5691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AGV执行</w:t>
      </w:r>
      <w:r>
        <w:rPr>
          <w:rFonts w:hint="eastAsia" w:ascii="Arial" w:hAnsi="Arial" w:eastAsia="等线" w:cs="Arial"/>
          <w:sz w:val="22"/>
          <w:lang w:val="en-US" w:eastAsia="zh-CN"/>
        </w:rPr>
        <w:t>取</w:t>
      </w:r>
      <w:r>
        <w:rPr>
          <w:rFonts w:ascii="Arial" w:hAnsi="Arial" w:eastAsia="等线" w:cs="Arial"/>
          <w:sz w:val="22"/>
        </w:rPr>
        <w:t>料并反馈完成：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54CC5341">
      <w:pPr>
        <w:numPr>
          <w:ilvl w:val="0"/>
          <w:numId w:val="2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AGV检测到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008为1，执行</w:t>
      </w:r>
      <w:r>
        <w:rPr>
          <w:rFonts w:hint="eastAsia" w:ascii="Arial" w:hAnsi="Arial" w:eastAsia="等线" w:cs="Arial"/>
          <w:sz w:val="22"/>
          <w:lang w:val="en-US" w:eastAsia="zh-CN"/>
        </w:rPr>
        <w:t>取</w:t>
      </w:r>
      <w:r>
        <w:rPr>
          <w:rFonts w:ascii="Arial" w:hAnsi="Arial" w:eastAsia="等线" w:cs="Arial"/>
          <w:sz w:val="22"/>
        </w:rPr>
        <w:t>料操作</w:t>
      </w:r>
    </w:p>
    <w:p w14:paraId="17F78B7F">
      <w:pPr>
        <w:numPr>
          <w:ilvl w:val="0"/>
          <w:numId w:val="3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放料完成后，AGV向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010写入1（</w:t>
      </w:r>
      <w:r>
        <w:rPr>
          <w:rFonts w:hint="eastAsia" w:ascii="Arial" w:hAnsi="Arial" w:eastAsia="等线" w:cs="Arial"/>
          <w:sz w:val="22"/>
          <w:lang w:val="en-US" w:eastAsia="zh-CN"/>
        </w:rPr>
        <w:t>取</w:t>
      </w:r>
      <w:r>
        <w:rPr>
          <w:rFonts w:ascii="Arial" w:hAnsi="Arial" w:eastAsia="等线" w:cs="Arial"/>
          <w:sz w:val="22"/>
        </w:rPr>
        <w:t>料完成）</w:t>
      </w:r>
    </w:p>
    <w:p w14:paraId="258C3A24">
      <w:pPr>
        <w:numPr>
          <w:ilvl w:val="0"/>
          <w:numId w:val="31"/>
        </w:numPr>
        <w:spacing w:before="120" w:after="120" w:line="288" w:lineRule="auto"/>
        <w:ind w:left="453"/>
        <w:jc w:val="left"/>
      </w:pPr>
    </w:p>
    <w:p w14:paraId="2425C568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PLC确认流程结束：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54F59512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PLC检测到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010为1，读取条码信息和msg，确认</w:t>
      </w:r>
      <w:r>
        <w:rPr>
          <w:rFonts w:hint="eastAsia" w:ascii="Arial" w:hAnsi="Arial" w:eastAsia="等线" w:cs="Arial"/>
          <w:sz w:val="22"/>
          <w:lang w:val="en-US" w:eastAsia="zh-CN"/>
        </w:rPr>
        <w:t>下料</w:t>
      </w:r>
      <w:r>
        <w:rPr>
          <w:rFonts w:ascii="Arial" w:hAnsi="Arial" w:eastAsia="等线" w:cs="Arial"/>
          <w:sz w:val="22"/>
        </w:rPr>
        <w:t>流程完成，复位</w:t>
      </w:r>
      <w:r>
        <w:rPr>
          <w:rFonts w:hint="eastAsia" w:ascii="Arial" w:hAnsi="Arial" w:eastAsia="等线" w:cs="Arial"/>
          <w:sz w:val="22"/>
          <w:lang w:val="en-US" w:eastAsia="zh-CN"/>
        </w:rPr>
        <w:t>2</w:t>
      </w:r>
      <w:r>
        <w:rPr>
          <w:rFonts w:ascii="Arial" w:hAnsi="Arial" w:eastAsia="等线" w:cs="Arial"/>
          <w:sz w:val="22"/>
        </w:rPr>
        <w:t>010</w:t>
      </w:r>
      <w:r>
        <w:rPr>
          <w:rFonts w:hint="eastAsia" w:ascii="Arial" w:hAnsi="Arial" w:eastAsia="等线" w:cs="Arial"/>
          <w:sz w:val="22"/>
          <w:lang w:val="en-US" w:eastAsia="zh-CN"/>
        </w:rPr>
        <w:t>&amp;2</w:t>
      </w:r>
      <w:r>
        <w:rPr>
          <w:rFonts w:ascii="Arial" w:hAnsi="Arial" w:eastAsia="等线" w:cs="Arial"/>
          <w:sz w:val="22"/>
        </w:rPr>
        <w:t>000</w:t>
      </w:r>
      <w:r>
        <w:rPr>
          <w:rFonts w:hint="eastAsia" w:ascii="Arial" w:hAnsi="Arial" w:eastAsia="等线" w:cs="Arial"/>
          <w:sz w:val="22"/>
          <w:lang w:val="en-US" w:eastAsia="zh-CN"/>
        </w:rPr>
        <w:t>&amp;2</w:t>
      </w:r>
      <w:r>
        <w:rPr>
          <w:rFonts w:ascii="Arial" w:hAnsi="Arial" w:eastAsia="等线" w:cs="Arial"/>
          <w:sz w:val="22"/>
        </w:rPr>
        <w:t>006</w:t>
      </w:r>
      <w:r>
        <w:rPr>
          <w:rFonts w:hint="eastAsia" w:ascii="Arial" w:hAnsi="Arial" w:eastAsia="等线" w:cs="Arial"/>
          <w:sz w:val="22"/>
          <w:lang w:val="en-US" w:eastAsia="zh-CN"/>
        </w:rPr>
        <w:t>&amp;2</w:t>
      </w:r>
      <w:r>
        <w:rPr>
          <w:rFonts w:ascii="Arial" w:hAnsi="Arial" w:eastAsia="等线" w:cs="Arial"/>
          <w:sz w:val="22"/>
        </w:rPr>
        <w:t>008。</w:t>
      </w:r>
    </w:p>
    <w:p w14:paraId="60273AAF">
      <w:pPr>
        <w:spacing w:before="320" w:after="120" w:line="288" w:lineRule="auto"/>
        <w:ind w:left="0"/>
        <w:jc w:val="left"/>
        <w:outlineLvl w:val="1"/>
      </w:pPr>
    </w:p>
    <w:p w14:paraId="5B90B3A1">
      <w:pPr>
        <w:numPr>
          <w:numId w:val="0"/>
        </w:numPr>
        <w:spacing w:before="120" w:after="120" w:line="288" w:lineRule="auto"/>
        <w:jc w:val="left"/>
      </w:pPr>
    </w:p>
    <w:p w14:paraId="04BCE805">
      <w:pPr>
        <w:spacing w:before="320" w:after="120" w:line="288" w:lineRule="auto"/>
        <w:ind w:left="0"/>
        <w:jc w:val="left"/>
        <w:outlineLvl w:val="1"/>
      </w:pPr>
      <w:bookmarkStart w:id="23" w:name="heading_25"/>
      <w:r>
        <w:rPr>
          <w:rFonts w:ascii="Arial" w:hAnsi="Arial" w:eastAsia="等线" w:cs="Arial"/>
          <w:b/>
          <w:sz w:val="32"/>
        </w:rPr>
        <w:t>6.</w:t>
      </w:r>
      <w:r>
        <w:rPr>
          <w:rFonts w:hint="eastAsia" w:ascii="Arial" w:hAnsi="Arial" w:eastAsia="等线" w:cs="Arial"/>
          <w:b/>
          <w:sz w:val="32"/>
          <w:lang w:val="en-US" w:eastAsia="zh-CN"/>
        </w:rPr>
        <w:t>3</w:t>
      </w:r>
      <w:r>
        <w:rPr>
          <w:rFonts w:ascii="Arial" w:hAnsi="Arial" w:eastAsia="等线" w:cs="Arial"/>
          <w:b/>
          <w:sz w:val="32"/>
        </w:rPr>
        <w:t xml:space="preserve"> 故障处理流程</w:t>
      </w:r>
      <w:bookmarkEnd w:id="23"/>
    </w:p>
    <w:p w14:paraId="61AE947F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AGV检测到故障（碰撞、</w:t>
      </w:r>
      <w:r>
        <w:rPr>
          <w:rFonts w:hint="eastAsia" w:ascii="Arial" w:hAnsi="Arial" w:eastAsia="等线" w:cs="Arial"/>
          <w:sz w:val="22"/>
          <w:lang w:val="en-US" w:eastAsia="zh-CN"/>
        </w:rPr>
        <w:t>扫码对位异常等</w:t>
      </w:r>
      <w:r>
        <w:rPr>
          <w:rFonts w:ascii="Arial" w:hAnsi="Arial" w:eastAsia="等线" w:cs="Arial"/>
          <w:sz w:val="22"/>
        </w:rPr>
        <w:t>），向</w:t>
      </w:r>
      <w:r>
        <w:rPr>
          <w:rFonts w:hint="eastAsia" w:ascii="Arial" w:hAnsi="Arial" w:eastAsia="等线" w:cs="Arial"/>
          <w:sz w:val="22"/>
          <w:lang w:val="en-US" w:eastAsia="zh-CN"/>
        </w:rPr>
        <w:t>1012</w:t>
      </w:r>
      <w:r>
        <w:rPr>
          <w:rFonts w:ascii="Arial" w:hAnsi="Arial" w:eastAsia="等线" w:cs="Arial"/>
          <w:sz w:val="22"/>
        </w:rPr>
        <w:t>写入1（有故障），向</w:t>
      </w:r>
      <w:r>
        <w:rPr>
          <w:rFonts w:hint="eastAsia" w:ascii="Arial" w:hAnsi="Arial" w:eastAsia="等线" w:cs="Arial"/>
          <w:sz w:val="22"/>
          <w:lang w:val="en-US" w:eastAsia="zh-CN"/>
        </w:rPr>
        <w:t>1014</w:t>
      </w:r>
      <w:r>
        <w:rPr>
          <w:rFonts w:ascii="Arial" w:hAnsi="Arial" w:eastAsia="等线" w:cs="Arial"/>
          <w:sz w:val="22"/>
        </w:rPr>
        <w:t>写入具体故障ID（如1=碰撞）。</w:t>
      </w:r>
    </w:p>
    <w:p w14:paraId="436C82A2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PLC检测到</w:t>
      </w:r>
      <w:r>
        <w:rPr>
          <w:rFonts w:hint="eastAsia" w:ascii="Arial" w:hAnsi="Arial" w:eastAsia="等线" w:cs="Arial"/>
          <w:sz w:val="22"/>
          <w:lang w:val="en-US" w:eastAsia="zh-CN"/>
        </w:rPr>
        <w:t>1012</w:t>
      </w:r>
      <w:r>
        <w:rPr>
          <w:rFonts w:ascii="Arial" w:hAnsi="Arial" w:eastAsia="等线" w:cs="Arial"/>
          <w:sz w:val="22"/>
        </w:rPr>
        <w:t>为1，读取</w:t>
      </w:r>
      <w:r>
        <w:rPr>
          <w:rFonts w:hint="eastAsia" w:ascii="Arial" w:hAnsi="Arial" w:eastAsia="等线" w:cs="Arial"/>
          <w:sz w:val="22"/>
          <w:lang w:val="en-US" w:eastAsia="zh-CN"/>
        </w:rPr>
        <w:t>1014</w:t>
      </w:r>
      <w:r>
        <w:rPr>
          <w:rFonts w:ascii="Arial" w:hAnsi="Arial" w:eastAsia="等线" w:cs="Arial"/>
          <w:sz w:val="22"/>
        </w:rPr>
        <w:t>的故障ID，触发告警并暂停上料流程。</w:t>
      </w:r>
    </w:p>
    <w:p w14:paraId="4BEE56D5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工作人员排除故障后，AGV自动复位</w:t>
      </w:r>
      <w:r>
        <w:rPr>
          <w:rFonts w:hint="eastAsia" w:ascii="Arial" w:hAnsi="Arial" w:eastAsia="等线" w:cs="Arial"/>
          <w:sz w:val="22"/>
          <w:lang w:val="en-US" w:eastAsia="zh-CN"/>
        </w:rPr>
        <w:t>1012</w:t>
      </w:r>
      <w:r>
        <w:rPr>
          <w:rFonts w:ascii="Arial" w:hAnsi="Arial" w:eastAsia="等线" w:cs="Arial"/>
          <w:sz w:val="22"/>
        </w:rPr>
        <w:t>和</w:t>
      </w:r>
      <w:r>
        <w:rPr>
          <w:rFonts w:hint="eastAsia" w:ascii="Arial" w:hAnsi="Arial" w:eastAsia="等线" w:cs="Arial"/>
          <w:sz w:val="22"/>
          <w:lang w:val="en-US" w:eastAsia="zh-CN"/>
        </w:rPr>
        <w:t>1014</w:t>
      </w:r>
    </w:p>
    <w:p w14:paraId="32AD94A0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PLC检测到故障复位，恢复正常上料流程。</w:t>
      </w:r>
    </w:p>
    <w:p w14:paraId="2853B97E">
      <w:pPr>
        <w:spacing w:before="380" w:after="140" w:line="288" w:lineRule="auto"/>
        <w:ind w:left="0"/>
        <w:jc w:val="left"/>
        <w:outlineLvl w:val="0"/>
      </w:pPr>
      <w:bookmarkStart w:id="24" w:name="heading_26"/>
      <w:r>
        <w:rPr>
          <w:rFonts w:ascii="Arial" w:hAnsi="Arial" w:eastAsia="等线" w:cs="Arial"/>
          <w:b/>
          <w:sz w:val="36"/>
        </w:rPr>
        <w:t>7. 可靠性与容错机制</w:t>
      </w:r>
      <w:bookmarkEnd w:id="24"/>
    </w:p>
    <w:p w14:paraId="5E473056">
      <w:pPr>
        <w:spacing w:before="320" w:after="120" w:line="288" w:lineRule="auto"/>
        <w:ind w:left="0"/>
        <w:jc w:val="left"/>
        <w:outlineLvl w:val="1"/>
      </w:pPr>
      <w:bookmarkStart w:id="25" w:name="heading_27"/>
      <w:r>
        <w:rPr>
          <w:rFonts w:ascii="Arial" w:hAnsi="Arial" w:eastAsia="等线" w:cs="Arial"/>
          <w:b/>
          <w:sz w:val="32"/>
        </w:rPr>
        <w:t>7.1 数据校验</w:t>
      </w:r>
      <w:bookmarkEnd w:id="25"/>
    </w:p>
    <w:p w14:paraId="747D02DB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TCP协议本身具备校验和机制，可检测数据传输过程中的丢包、误码，确保数据完整性。</w:t>
      </w:r>
    </w:p>
    <w:p w14:paraId="45988410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AGV与PLC对接收的报文进行帧结构校验，若帧长度、功能码、寄存器地址等不符合协议规定，直接丢弃该报文，并返回异常响应。</w:t>
      </w:r>
    </w:p>
    <w:p w14:paraId="2EB3B635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对于关键数据（如上料请求、放料允许），PLC下发后，AGV解析完成后需返回确认信息，确保数据接收无误。</w:t>
      </w:r>
    </w:p>
    <w:p w14:paraId="70D3557E">
      <w:pPr>
        <w:spacing w:before="320" w:after="120" w:line="288" w:lineRule="auto"/>
        <w:ind w:left="0"/>
        <w:jc w:val="left"/>
        <w:outlineLvl w:val="1"/>
      </w:pPr>
      <w:bookmarkStart w:id="26" w:name="heading_28"/>
      <w:r>
        <w:rPr>
          <w:rFonts w:ascii="Arial" w:hAnsi="Arial" w:eastAsia="等线" w:cs="Arial"/>
          <w:b/>
          <w:sz w:val="32"/>
        </w:rPr>
        <w:t>7.2 超时重连与重试</w:t>
      </w:r>
      <w:bookmarkEnd w:id="26"/>
    </w:p>
    <w:p w14:paraId="3B4C73B3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AGV发起连接超时（超过3000ms），将在</w:t>
      </w:r>
      <w:r>
        <w:rPr>
          <w:rFonts w:hint="eastAsia" w:ascii="Arial" w:hAnsi="Arial" w:eastAsia="等线" w:cs="Arial"/>
          <w:sz w:val="22"/>
          <w:lang w:val="en-US" w:eastAsia="zh-CN"/>
        </w:rPr>
        <w:t>3</w:t>
      </w:r>
      <w:r>
        <w:rPr>
          <w:rFonts w:ascii="Arial" w:hAnsi="Arial" w:eastAsia="等线" w:cs="Arial"/>
          <w:sz w:val="22"/>
        </w:rPr>
        <w:t>秒后重新发起连接，最多重试5次，仍失败则上报“通讯故障”。</w:t>
      </w:r>
    </w:p>
    <w:p w14:paraId="10370B5E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AGV发送请求后，若超过2000ms未收到响应，判定为通讯超时，重新发起请求，最多重试3次，仍失败则断开链路并重新连接。</w:t>
      </w:r>
    </w:p>
    <w:p w14:paraId="313DD4FC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PLC未收到AGV心跳请求超过5秒，判定链路异常，主动断开链路，等待AGV重新连接。</w:t>
      </w:r>
    </w:p>
    <w:p w14:paraId="4318744A">
      <w:pPr>
        <w:spacing w:before="320" w:after="120" w:line="288" w:lineRule="auto"/>
        <w:ind w:left="0"/>
        <w:jc w:val="left"/>
        <w:outlineLvl w:val="1"/>
      </w:pPr>
      <w:bookmarkStart w:id="27" w:name="heading_29"/>
      <w:r>
        <w:rPr>
          <w:rFonts w:ascii="Arial" w:hAnsi="Arial" w:eastAsia="等线" w:cs="Arial"/>
          <w:b/>
          <w:sz w:val="32"/>
        </w:rPr>
        <w:t>7.3 数据容错</w:t>
      </w:r>
      <w:bookmarkEnd w:id="27"/>
    </w:p>
    <w:p w14:paraId="35F8403C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若AGV收到非法任务指令（如1002的数值超出0~1范围），忽略该指令，保持当前状态，并返回异常响应（异常码0x03）。</w:t>
      </w:r>
    </w:p>
    <w:p w14:paraId="40DAF3FF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若PLC读取到的AGV数据超出正常范围（如505的故障ID超出0~5范围），判定为数据异常，忽略该数据，下次通讯时重新读取。</w:t>
      </w:r>
    </w:p>
    <w:p w14:paraId="124408D2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AGV断电或重启后，参数配置相关寄存器中的数据保持不变，任务相关寄存器和故障寄存器自动清零，重启后重新发起通讯连接。</w:t>
      </w:r>
    </w:p>
    <w:p w14:paraId="7F237AEB">
      <w:pPr>
        <w:spacing w:before="380" w:after="140" w:line="288" w:lineRule="auto"/>
        <w:ind w:left="0"/>
        <w:jc w:val="left"/>
        <w:outlineLvl w:val="0"/>
      </w:pPr>
      <w:bookmarkStart w:id="28" w:name="heading_30"/>
      <w:r>
        <w:rPr>
          <w:rFonts w:ascii="Arial" w:hAnsi="Arial" w:eastAsia="等线" w:cs="Arial"/>
          <w:b/>
          <w:sz w:val="36"/>
        </w:rPr>
        <w:t>8. 协议扩展与维护</w:t>
      </w:r>
      <w:bookmarkEnd w:id="28"/>
    </w:p>
    <w:p w14:paraId="4CEA0844">
      <w:pPr>
        <w:spacing w:before="320" w:after="120" w:line="288" w:lineRule="auto"/>
        <w:ind w:left="0"/>
        <w:jc w:val="left"/>
        <w:outlineLvl w:val="1"/>
      </w:pPr>
      <w:bookmarkStart w:id="29" w:name="heading_31"/>
      <w:r>
        <w:rPr>
          <w:rFonts w:ascii="Arial" w:hAnsi="Arial" w:eastAsia="等线" w:cs="Arial"/>
          <w:b/>
          <w:sz w:val="32"/>
        </w:rPr>
        <w:t>8.1 协议扩展</w:t>
      </w:r>
      <w:bookmarkEnd w:id="29"/>
    </w:p>
    <w:p w14:paraId="5960EA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若后续需要新增业务功能（如新增任务类型、扩展参数配置），可在预留寄存器地址中定义新的寄存器，扩展功能码需遵循Modbus TCP标准，新增内容需同步更新本协议，确保双方认知一致。</w:t>
      </w:r>
    </w:p>
    <w:p w14:paraId="28A56A10">
      <w:pPr>
        <w:spacing w:before="320" w:after="120" w:line="288" w:lineRule="auto"/>
        <w:ind w:left="0"/>
        <w:jc w:val="left"/>
        <w:outlineLvl w:val="1"/>
      </w:pPr>
      <w:bookmarkStart w:id="30" w:name="heading_32"/>
      <w:r>
        <w:rPr>
          <w:rFonts w:ascii="Arial" w:hAnsi="Arial" w:eastAsia="等线" w:cs="Arial"/>
          <w:b/>
          <w:sz w:val="32"/>
        </w:rPr>
        <w:t>8.2 协议维护</w:t>
      </w:r>
      <w:bookmarkEnd w:id="30"/>
    </w:p>
    <w:p w14:paraId="0B3C6069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本协议版本号为V1.0，后续若有修改，需明确版本更新说明，标注修改内容、修改时间及修改原因。</w:t>
      </w:r>
    </w:p>
    <w:p w14:paraId="7AEA0EEA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AGV与PLC软件升级时，需确保通讯协议兼容，若协议有重大修改，需先进行兼容性测试，避免通讯异常。</w:t>
      </w:r>
    </w:p>
    <w:p w14:paraId="7BF93C79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协议维护由双方技术人员共同负责，若出现通讯异常，需结合本协议排查问题，及时更新协议内容以适配业务变更。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96C8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4143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C4FF9FFB"/>
    <w:multiLevelType w:val="singleLevel"/>
    <w:tmpl w:val="C4FF9FF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5">
    <w:nsid w:val="C8879AEF"/>
    <w:multiLevelType w:val="singleLevel"/>
    <w:tmpl w:val="C8879A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6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D185BEDD"/>
    <w:multiLevelType w:val="singleLevel"/>
    <w:tmpl w:val="D185BED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D2940872"/>
    <w:multiLevelType w:val="singleLevel"/>
    <w:tmpl w:val="D294087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9">
    <w:nsid w:val="D7F9FE59"/>
    <w:multiLevelType w:val="singleLevel"/>
    <w:tmpl w:val="D7F9FE5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0">
    <w:nsid w:val="DCBA6B53"/>
    <w:multiLevelType w:val="singleLevel"/>
    <w:tmpl w:val="DCBA6B5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1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F4B5D9F5"/>
    <w:multiLevelType w:val="singleLevel"/>
    <w:tmpl w:val="F4B5D9F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3">
    <w:nsid w:val="F7735DC9"/>
    <w:multiLevelType w:val="singleLevel"/>
    <w:tmpl w:val="F7735DC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0248C179"/>
    <w:multiLevelType w:val="singleLevel"/>
    <w:tmpl w:val="0248C17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6">
    <w:nsid w:val="03D62ECE"/>
    <w:multiLevelType w:val="singleLevel"/>
    <w:tmpl w:val="03D62EC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0E640482"/>
    <w:multiLevelType w:val="singleLevel"/>
    <w:tmpl w:val="0E64048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8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243FCF68"/>
    <w:multiLevelType w:val="singleLevel"/>
    <w:tmpl w:val="243FCF6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0">
    <w:nsid w:val="2470EC97"/>
    <w:multiLevelType w:val="singleLevel"/>
    <w:tmpl w:val="2470EC9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1">
    <w:nsid w:val="25B654F3"/>
    <w:multiLevelType w:val="singleLevel"/>
    <w:tmpl w:val="25B654F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2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3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39A0D9AC"/>
    <w:multiLevelType w:val="singleLevel"/>
    <w:tmpl w:val="39A0D9A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5">
    <w:nsid w:val="46A08BB8"/>
    <w:multiLevelType w:val="singleLevel"/>
    <w:tmpl w:val="46A08BB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6">
    <w:nsid w:val="4C1BAE26"/>
    <w:multiLevelType w:val="singleLevel"/>
    <w:tmpl w:val="4C1BAE2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7">
    <w:nsid w:val="4D4DC07F"/>
    <w:multiLevelType w:val="singleLevel"/>
    <w:tmpl w:val="4D4DC07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8">
    <w:nsid w:val="4D94DA66"/>
    <w:multiLevelType w:val="singleLevel"/>
    <w:tmpl w:val="4D94DA6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9">
    <w:nsid w:val="58765686"/>
    <w:multiLevelType w:val="singleLevel"/>
    <w:tmpl w:val="5876568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0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5A241D34"/>
    <w:multiLevelType w:val="singleLevel"/>
    <w:tmpl w:val="5A241D3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2">
    <w:nsid w:val="5DC888F9"/>
    <w:multiLevelType w:val="singleLevel"/>
    <w:tmpl w:val="5DC888F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3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60382F6E"/>
    <w:multiLevelType w:val="singleLevel"/>
    <w:tmpl w:val="60382F6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6">
    <w:nsid w:val="629F7852"/>
    <w:multiLevelType w:val="singleLevel"/>
    <w:tmpl w:val="629F785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7">
    <w:nsid w:val="71B2ECC5"/>
    <w:multiLevelType w:val="singleLevel"/>
    <w:tmpl w:val="71B2ECC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8">
    <w:nsid w:val="72183CF9"/>
    <w:multiLevelType w:val="singleLevel"/>
    <w:tmpl w:val="72183CF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9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77ECEA79"/>
    <w:multiLevelType w:val="singleLevel"/>
    <w:tmpl w:val="77ECEA7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1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7C246926"/>
    <w:multiLevelType w:val="singleLevel"/>
    <w:tmpl w:val="7C24692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3">
    <w:nsid w:val="7DEC2089"/>
    <w:multiLevelType w:val="singleLevel"/>
    <w:tmpl w:val="7DEC2089"/>
    <w:lvl w:ilvl="0" w:tentative="0">
      <w:start w:val="0"/>
      <w:numFmt w:val="bullet"/>
      <w:lvlText w:val="￮"/>
      <w:lvlJc w:val="left"/>
      <w:rPr>
        <w:color w:val="3370FF"/>
      </w:rPr>
    </w:lvl>
  </w:abstractNum>
  <w:num w:numId="1">
    <w:abstractNumId w:val="24"/>
  </w:num>
  <w:num w:numId="2">
    <w:abstractNumId w:val="16"/>
  </w:num>
  <w:num w:numId="3">
    <w:abstractNumId w:val="40"/>
  </w:num>
  <w:num w:numId="4">
    <w:abstractNumId w:val="13"/>
  </w:num>
  <w:num w:numId="5">
    <w:abstractNumId w:val="9"/>
  </w:num>
  <w:num w:numId="6">
    <w:abstractNumId w:val="26"/>
  </w:num>
  <w:num w:numId="7">
    <w:abstractNumId w:val="31"/>
  </w:num>
  <w:num w:numId="8">
    <w:abstractNumId w:val="48"/>
  </w:num>
  <w:num w:numId="9">
    <w:abstractNumId w:val="25"/>
  </w:num>
  <w:num w:numId="10">
    <w:abstractNumId w:val="5"/>
  </w:num>
  <w:num w:numId="11">
    <w:abstractNumId w:val="32"/>
  </w:num>
  <w:num w:numId="12">
    <w:abstractNumId w:val="41"/>
  </w:num>
  <w:num w:numId="13">
    <w:abstractNumId w:val="15"/>
  </w:num>
  <w:num w:numId="14">
    <w:abstractNumId w:val="37"/>
  </w:num>
  <w:num w:numId="15">
    <w:abstractNumId w:val="22"/>
  </w:num>
  <w:num w:numId="16">
    <w:abstractNumId w:val="30"/>
  </w:num>
  <w:num w:numId="17">
    <w:abstractNumId w:val="20"/>
  </w:num>
  <w:num w:numId="18">
    <w:abstractNumId w:val="19"/>
  </w:num>
  <w:num w:numId="19">
    <w:abstractNumId w:val="7"/>
  </w:num>
  <w:num w:numId="20">
    <w:abstractNumId w:val="36"/>
  </w:num>
  <w:num w:numId="21">
    <w:abstractNumId w:val="45"/>
  </w:num>
  <w:num w:numId="22">
    <w:abstractNumId w:val="27"/>
  </w:num>
  <w:num w:numId="23">
    <w:abstractNumId w:val="35"/>
  </w:num>
  <w:num w:numId="24">
    <w:abstractNumId w:val="8"/>
  </w:num>
  <w:num w:numId="25">
    <w:abstractNumId w:val="52"/>
  </w:num>
  <w:num w:numId="26">
    <w:abstractNumId w:val="50"/>
  </w:num>
  <w:num w:numId="27">
    <w:abstractNumId w:val="12"/>
  </w:num>
  <w:num w:numId="28">
    <w:abstractNumId w:val="46"/>
  </w:num>
  <w:num w:numId="29">
    <w:abstractNumId w:val="6"/>
  </w:num>
  <w:num w:numId="30">
    <w:abstractNumId w:val="53"/>
  </w:num>
  <w:num w:numId="31">
    <w:abstractNumId w:val="34"/>
  </w:num>
  <w:num w:numId="32">
    <w:abstractNumId w:val="2"/>
  </w:num>
  <w:num w:numId="33">
    <w:abstractNumId w:val="39"/>
  </w:num>
  <w:num w:numId="34">
    <w:abstractNumId w:val="17"/>
  </w:num>
  <w:num w:numId="35">
    <w:abstractNumId w:val="42"/>
  </w:num>
  <w:num w:numId="36">
    <w:abstractNumId w:val="14"/>
  </w:num>
  <w:num w:numId="37">
    <w:abstractNumId w:val="18"/>
  </w:num>
  <w:num w:numId="38">
    <w:abstractNumId w:val="47"/>
  </w:num>
  <w:num w:numId="39">
    <w:abstractNumId w:val="0"/>
  </w:num>
  <w:num w:numId="40">
    <w:abstractNumId w:val="29"/>
  </w:num>
  <w:num w:numId="41">
    <w:abstractNumId w:val="38"/>
  </w:num>
  <w:num w:numId="42">
    <w:abstractNumId w:val="23"/>
  </w:num>
  <w:num w:numId="43">
    <w:abstractNumId w:val="21"/>
  </w:num>
  <w:num w:numId="44">
    <w:abstractNumId w:val="33"/>
  </w:num>
  <w:num w:numId="45">
    <w:abstractNumId w:val="51"/>
  </w:num>
  <w:num w:numId="46">
    <w:abstractNumId w:val="11"/>
  </w:num>
  <w:num w:numId="47">
    <w:abstractNumId w:val="4"/>
  </w:num>
  <w:num w:numId="48">
    <w:abstractNumId w:val="10"/>
  </w:num>
  <w:num w:numId="49">
    <w:abstractNumId w:val="43"/>
  </w:num>
  <w:num w:numId="50">
    <w:abstractNumId w:val="1"/>
  </w:num>
  <w:num w:numId="51">
    <w:abstractNumId w:val="28"/>
  </w:num>
  <w:num w:numId="52">
    <w:abstractNumId w:val="3"/>
  </w:num>
  <w:num w:numId="53">
    <w:abstractNumId w:val="44"/>
  </w:num>
  <w:num w:numId="54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2752A"/>
    <w:rsid w:val="04267B2D"/>
    <w:rsid w:val="07F10452"/>
    <w:rsid w:val="0C8C699B"/>
    <w:rsid w:val="0E3C619F"/>
    <w:rsid w:val="19664EC9"/>
    <w:rsid w:val="1BBD091F"/>
    <w:rsid w:val="20166850"/>
    <w:rsid w:val="25315EDA"/>
    <w:rsid w:val="2DF67CC1"/>
    <w:rsid w:val="30176275"/>
    <w:rsid w:val="42C341BE"/>
    <w:rsid w:val="49B74350"/>
    <w:rsid w:val="4F9F1B0F"/>
    <w:rsid w:val="4FFB38C6"/>
    <w:rsid w:val="5124051D"/>
    <w:rsid w:val="564927D4"/>
    <w:rsid w:val="5D5E4DB7"/>
    <w:rsid w:val="5ED03A93"/>
    <w:rsid w:val="5F8D3A4F"/>
    <w:rsid w:val="659622EC"/>
    <w:rsid w:val="73F41B79"/>
    <w:rsid w:val="752D5343"/>
    <w:rsid w:val="7D0A41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5035</Words>
  <Characters>6436</Characters>
  <TotalTime>1257</TotalTime>
  <ScaleCrop>false</ScaleCrop>
  <LinksUpToDate>false</LinksUpToDate>
  <CharactersWithSpaces>6554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2026-03-13T03:21:00Z</dcterms:created>
  <dc:creator>Apache POI</dc:creator>
  <cp:lastModifiedBy>%E9%80%97</cp:lastModifiedBy>
  <dcterms:modified xsi:type="dcterms:W3CDTF">2026-03-17T10:23:08Z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eyJoZGlkIjoiMmFlYTNjNTg3MzQ0ZGYxZDE5ZDQ5OGM0OGM2OTkyYzIiLCJ1c2VySWQiOiIyNjAzMjgwMDQifQ==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D7468CBF14E845DEBD97FA460976B10D_13</vt:lpwstr>
  </property>
</Properties>
</file>